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aps/>
          <w:color w:val="1A5276"/>
          <w:sz w:val="48"/>
          <w:szCs w:val="48"/>
        </w:rPr>
        <w:t xml:space="preserve">DRYKO™ PRIMER</w:t>
      </w:r>
    </w:p>
    <w:p>
      <w:pPr>
        <w:spacing w:after="60" w:before="0"/>
        <w:jc w:val="center"/>
      </w:pPr>
      <w:r>
        <w:rPr>
          <w:rFonts w:ascii="Arial" w:cs="Arial" w:eastAsia="Arial" w:hAnsi="Arial"/>
          <w:color w:val="555555"/>
          <w:sz w:val="28"/>
          <w:szCs w:val="28"/>
        </w:rPr>
        <w:t xml:space="preserve">Surface Prep for Asphalt &amp; Roofing Membranes</w:t>
      </w:r>
    </w:p>
    <w:p>
      <w:pPr>
        <w:spacing w:after="80" w:before="60"/>
        <w:jc w:val="center"/>
      </w:pPr>
      <w:r>
        <w:rPr>
          <w:rFonts w:ascii="Arial" w:cs="Arial" w:eastAsia="Arial" w:hAnsi="Arial"/>
          <w:b/>
          <w:bCs/>
          <w:caps/>
          <w:color w:val="C0392B"/>
          <w:sz w:val="36"/>
          <w:szCs w:val="36"/>
        </w:rPr>
        <w:t xml:space="preserve">5-YEAR LIMITED WARRANTY</w:t>
      </w:r>
    </w:p>
    <w:p>
      <w:pPr>
        <w:spacing w:after="320" w:before="0"/>
        <w:jc w:val="center"/>
      </w:pPr>
      <w:r>
        <w:rPr>
          <w:rFonts w:ascii="Arial" w:cs="Arial" w:eastAsia="Arial" w:hAnsi="Arial"/>
          <w:color w:val="888888"/>
          <w:sz w:val="20"/>
          <w:szCs w:val="20"/>
        </w:rPr>
        <w:t xml:space="preserve">HTS Code: 3214.90.5000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b/>
                <w:bCs/>
                <w:color w:val="1A1A1A"/>
                <w:sz w:val="20"/>
                <w:szCs w:val="20"/>
              </w:rPr>
              <w:t xml:space="preserve">Product</w:t>
            </w:r>
          </w:p>
        </w:tc>
        <w:tc>
          <w:tcPr>
            <w:tcW w:type="dxa" w:w="576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color w:val="1A1A1A"/>
                <w:sz w:val="20"/>
                <w:szCs w:val="20"/>
              </w:rPr>
              <w:t xml:space="preserve">Dryko™ Primer</w:t>
            </w:r>
          </w:p>
        </w:tc>
      </w:tr>
      <w:tr>
        <w:tc>
          <w:tcPr>
            <w:tcW w:type="dxa" w:w="360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b/>
                <w:bCs/>
                <w:color w:val="1A1A1A"/>
                <w:sz w:val="20"/>
                <w:szCs w:val="20"/>
              </w:rPr>
              <w:t xml:space="preserve">HTS Code</w:t>
            </w:r>
          </w:p>
        </w:tc>
        <w:tc>
          <w:tcPr>
            <w:tcW w:type="dxa" w:w="576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color w:val="1A1A1A"/>
                <w:sz w:val="20"/>
                <w:szCs w:val="20"/>
              </w:rPr>
              <w:t xml:space="preserve">3214.90.5000</w:t>
            </w:r>
          </w:p>
        </w:tc>
      </w:tr>
      <w:tr>
        <w:tc>
          <w:tcPr>
            <w:tcW w:type="dxa" w:w="360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b/>
                <w:bCs/>
                <w:color w:val="1A1A1A"/>
                <w:sz w:val="20"/>
                <w:szCs w:val="20"/>
              </w:rPr>
              <w:t xml:space="preserve">Warranty Period</w:t>
            </w:r>
          </w:p>
        </w:tc>
        <w:tc>
          <w:tcPr>
            <w:tcW w:type="dxa" w:w="576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color w:val="1A1A1A"/>
                <w:sz w:val="20"/>
                <w:szCs w:val="20"/>
              </w:rPr>
              <w:t xml:space="preserve">5 Years from date of original purchase</w:t>
            </w:r>
          </w:p>
        </w:tc>
      </w:tr>
      <w:tr>
        <w:tc>
          <w:tcPr>
            <w:tcW w:type="dxa" w:w="360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b/>
                <w:bCs/>
                <w:color w:val="1A1A1A"/>
                <w:sz w:val="20"/>
                <w:szCs w:val="20"/>
              </w:rPr>
              <w:t xml:space="preserve">Coverage Type</w:t>
            </w:r>
          </w:p>
        </w:tc>
        <w:tc>
          <w:tcPr>
            <w:tcW w:type="dxa" w:w="576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color w:val="1A1A1A"/>
                <w:sz w:val="20"/>
                <w:szCs w:val="20"/>
              </w:rPr>
              <w:t xml:space="preserve">Material defects under normal use</w:t>
            </w:r>
          </w:p>
        </w:tc>
      </w:tr>
      <w:tr>
        <w:tc>
          <w:tcPr>
            <w:tcW w:type="dxa" w:w="360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b/>
                <w:bCs/>
                <w:color w:val="1A1A1A"/>
                <w:sz w:val="20"/>
                <w:szCs w:val="20"/>
              </w:rPr>
              <w:t xml:space="preserve">Remedy</w:t>
            </w:r>
          </w:p>
        </w:tc>
        <w:tc>
          <w:tcPr>
            <w:tcW w:type="dxa" w:w="576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color w:val="1A1A1A"/>
                <w:sz w:val="20"/>
                <w:szCs w:val="20"/>
              </w:rPr>
              <w:t xml:space="preserve">Product replacement or prorated refund (see Section 5)</w:t>
            </w:r>
          </w:p>
        </w:tc>
      </w:tr>
      <w:tr>
        <w:tc>
          <w:tcPr>
            <w:tcW w:type="dxa" w:w="360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b/>
                <w:bCs/>
                <w:color w:val="1A1A1A"/>
                <w:sz w:val="20"/>
                <w:szCs w:val="20"/>
              </w:rPr>
              <w:t xml:space="preserve">Claim Filing Deadline</w:t>
            </w:r>
          </w:p>
        </w:tc>
        <w:tc>
          <w:tcPr>
            <w:tcW w:type="dxa" w:w="576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color w:val="1A1A1A"/>
                <w:sz w:val="20"/>
                <w:szCs w:val="20"/>
              </w:rPr>
              <w:t xml:space="preserve">Within 60 days of discovering the defect</w:t>
            </w:r>
          </w:p>
        </w:tc>
      </w:tr>
      <w:tr>
        <w:tc>
          <w:tcPr>
            <w:tcW w:type="dxa" w:w="360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b/>
                <w:bCs/>
                <w:color w:val="1A1A1A"/>
                <w:sz w:val="20"/>
                <w:szCs w:val="20"/>
              </w:rPr>
              <w:t xml:space="preserve">Contact</w:t>
            </w:r>
          </w:p>
        </w:tc>
        <w:tc>
          <w:tcPr>
            <w:tcW w:type="dxa" w:w="576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color w:val="1A1A1A"/>
                <w:sz w:val="20"/>
                <w:szCs w:val="20"/>
              </w:rPr>
              <w:t xml:space="preserve">info@bskrbrands.com</w:t>
            </w:r>
          </w:p>
        </w:tc>
      </w:tr>
    </w:tbl>
    <w:p>
      <w:pPr>
        <w:spacing w:after="0" w:before="320"/>
      </w:pPr>
      <w:r>
        <w:t xml:space="preserve"/>
      </w:r>
    </w:p>
    <w:p>
      <w:pPr>
        <w:pBdr>
          <w:bottom w:val="single" w:color="1A5276" w:sz="4" w:space="4"/>
        </w:pBdr>
        <w:spacing w:after="100" w:before="320"/>
      </w:pPr>
      <w:r>
        <w:rPr>
          <w:rFonts w:ascii="Arial" w:cs="Arial" w:eastAsia="Arial" w:hAnsi="Arial"/>
          <w:b/>
          <w:bCs/>
          <w:caps/>
          <w:color w:val="1A5276"/>
          <w:sz w:val="24"/>
          <w:szCs w:val="24"/>
        </w:rPr>
        <w:t xml:space="preserve">SECTION 1 — WARRANTY COVERAGE</w:t>
      </w:r>
    </w:p>
    <w:p>
      <w:pPr>
        <w:spacing w:after="80" w:before="60"/>
      </w:pPr>
      <w:r>
        <w:rPr>
          <w:rFonts w:ascii="Arial" w:cs="Arial" w:eastAsia="Arial" w:hAnsi="Arial"/>
          <w:color w:val="1A1A1A"/>
          <w:sz w:val="22"/>
          <w:szCs w:val="22"/>
        </w:rPr>
        <w:t xml:space="preserve">Subject to the conditions, limitations, and exclusions set forth herein, BSKR Brands LLC ("BSKR Brands LLC") warrants to the original purchaser ("Warrantor") that Dryko™ Primer will be free from defects in materials for a period of five (5) years from the date of original purchase when:</w:t>
      </w:r>
    </w:p>
    <w:p>
      <w:pPr>
        <w:pStyle w:val="ListParagraph"/>
        <w:numPr>
          <w:ilvl w:val="0"/>
          <w:numId w:val="2"/>
        </w:numPr>
        <w:spacing w:after="60" w:before="60"/>
      </w:pPr>
      <w:r>
        <w:rPr>
          <w:rFonts w:ascii="Arial" w:cs="Arial" w:eastAsia="Arial" w:hAnsi="Arial"/>
          <w:color w:val="1A1A1A"/>
          <w:sz w:val="22"/>
          <w:szCs w:val="22"/>
        </w:rPr>
        <w:t xml:space="preserve">The product is applied to a clean, dry, and properly prepared substrate in accordance with the official Dryko™ Primer Application Guide (current version available at dryko.com/install);</w:t>
      </w:r>
    </w:p>
    <w:p>
      <w:pPr>
        <w:pStyle w:val="ListParagraph"/>
        <w:numPr>
          <w:ilvl w:val="0"/>
          <w:numId w:val="2"/>
        </w:numPr>
        <w:spacing w:after="60" w:before="60"/>
      </w:pPr>
      <w:r>
        <w:rPr>
          <w:rFonts w:ascii="Arial" w:cs="Arial" w:eastAsia="Arial" w:hAnsi="Arial"/>
          <w:color w:val="1A1A1A"/>
          <w:sz w:val="22"/>
          <w:szCs w:val="22"/>
        </w:rPr>
        <w:t xml:space="preserve">The product is used solely for its intended purpose: surface preparation and adhesion promotion prior to application of asphalt-based or roofing membrane products on residential or commercial structures; and</w:t>
      </w:r>
    </w:p>
    <w:p>
      <w:pPr>
        <w:pStyle w:val="ListParagraph"/>
        <w:numPr>
          <w:ilvl w:val="0"/>
          <w:numId w:val="2"/>
        </w:numPr>
        <w:spacing w:after="60" w:before="60"/>
      </w:pPr>
      <w:r>
        <w:rPr>
          <w:rFonts w:ascii="Arial" w:cs="Arial" w:eastAsia="Arial" w:hAnsi="Arial"/>
          <w:color w:val="1A1A1A"/>
          <w:sz w:val="22"/>
          <w:szCs w:val="22"/>
        </w:rPr>
        <w:t xml:space="preserve">The primed surface has not been subject to structural failure, movement, or conditions beyond normal environmental exposure.</w:t>
      </w:r>
    </w:p>
    <w:p>
      <w:pPr>
        <w:spacing w:after="0" w:before="100"/>
      </w:pPr>
      <w:r>
        <w:t xml:space="preserve"/>
      </w:r>
    </w:p>
    <w:p>
      <w:pPr>
        <w:spacing w:after="80" w:before="60"/>
      </w:pPr>
      <w:r>
        <w:rPr>
          <w:rFonts w:ascii="Arial" w:cs="Arial" w:eastAsia="Arial" w:hAnsi="Arial"/>
          <w:color w:val="1A1A1A"/>
          <w:sz w:val="22"/>
          <w:szCs w:val="22"/>
        </w:rPr>
        <w:t xml:space="preserve">This warranty specifically covers:</w:t>
      </w:r>
    </w:p>
    <w:p>
      <w:pPr>
        <w:pStyle w:val="ListParagraph"/>
        <w:numPr>
          <w:ilvl w:val="0"/>
          <w:numId w:val="2"/>
        </w:numPr>
        <w:spacing w:after="60" w:before="60"/>
      </w:pPr>
      <w:r>
        <w:rPr>
          <w:rFonts w:ascii="Arial" w:cs="Arial" w:eastAsia="Arial" w:hAnsi="Arial"/>
          <w:color w:val="1A1A1A"/>
          <w:sz w:val="22"/>
          <w:szCs w:val="22"/>
        </w:rPr>
        <w:t xml:space="preserve">Adhesion promotion: The primer shall provide a uniform, tack-free bonding surface that promotes full adhesion of compatible overlying asphalt or roofing membrane products without peeling, separation, or bond failure attributable to the primer.</w:t>
      </w:r>
    </w:p>
    <w:p>
      <w:pPr>
        <w:pStyle w:val="ListParagraph"/>
        <w:numPr>
          <w:ilvl w:val="0"/>
          <w:numId w:val="2"/>
        </w:numPr>
        <w:spacing w:after="60" w:before="60"/>
      </w:pPr>
      <w:r>
        <w:rPr>
          <w:rFonts w:ascii="Arial" w:cs="Arial" w:eastAsia="Arial" w:hAnsi="Arial"/>
          <w:color w:val="1A1A1A"/>
          <w:sz w:val="22"/>
          <w:szCs w:val="22"/>
        </w:rPr>
        <w:t xml:space="preserve">Film integrity: The cured primer film shall remain intact, free from cracking, flaking, or delamination from a properly prepared substrate under normal service conditions.</w:t>
      </w:r>
    </w:p>
    <w:p>
      <w:pPr>
        <w:pStyle w:val="ListParagraph"/>
        <w:numPr>
          <w:ilvl w:val="0"/>
          <w:numId w:val="2"/>
        </w:numPr>
        <w:spacing w:after="60" w:before="60"/>
      </w:pPr>
      <w:r>
        <w:rPr>
          <w:rFonts w:ascii="Arial" w:cs="Arial" w:eastAsia="Arial" w:hAnsi="Arial"/>
          <w:color w:val="1A1A1A"/>
          <w:sz w:val="22"/>
          <w:szCs w:val="22"/>
        </w:rPr>
        <w:t xml:space="preserve">Penetration performance: The primer shall adequately penetrate and seal porous substrate surfaces to reduce absorption and prepare the surface for compatible membrane application.</w:t>
      </w:r>
    </w:p>
    <w:p>
      <w:pPr>
        <w:pStyle w:val="ListParagraph"/>
        <w:numPr>
          <w:ilvl w:val="0"/>
          <w:numId w:val="2"/>
        </w:numPr>
        <w:spacing w:after="60" w:before="60"/>
      </w:pPr>
      <w:r>
        <w:rPr>
          <w:rFonts w:ascii="Arial" w:cs="Arial" w:eastAsia="Arial" w:hAnsi="Arial"/>
          <w:color w:val="1A1A1A"/>
          <w:sz w:val="22"/>
          <w:szCs w:val="22"/>
        </w:rPr>
        <w:t xml:space="preserve">Temperature performance: The cured primer shall remain functional within an ambient service temperature range of −20°F to +180°F (−29°C to +82°C).</w:t>
      </w:r>
    </w:p>
    <w:p>
      <w:pPr>
        <w:spacing w:after="0" w:before="160"/>
      </w:pPr>
      <w:r>
        <w:t xml:space="preserve"/>
      </w:r>
    </w:p>
    <w:p>
      <w:pPr>
        <w:pBdr>
          <w:bottom w:val="single" w:color="1A5276" w:sz="4" w:space="4"/>
        </w:pBdr>
        <w:spacing w:after="100" w:before="320"/>
      </w:pPr>
      <w:r>
        <w:rPr>
          <w:rFonts w:ascii="Arial" w:cs="Arial" w:eastAsia="Arial" w:hAnsi="Arial"/>
          <w:b/>
          <w:bCs/>
          <w:caps/>
          <w:color w:val="1A5276"/>
          <w:sz w:val="24"/>
          <w:szCs w:val="24"/>
        </w:rPr>
        <w:t xml:space="preserve">SECTION 2 — WHAT IS NOT COVERED</w:t>
      </w:r>
    </w:p>
    <w:p>
      <w:pPr>
        <w:spacing w:after="80" w:before="60"/>
      </w:pPr>
      <w:r>
        <w:rPr>
          <w:rFonts w:ascii="Arial" w:cs="Arial" w:eastAsia="Arial" w:hAnsi="Arial"/>
          <w:color w:val="1A1A1A"/>
          <w:sz w:val="22"/>
          <w:szCs w:val="22"/>
        </w:rPr>
        <w:t xml:space="preserve">This warranty does not cover defects, failures, or damage resulting from:</w:t>
      </w:r>
    </w:p>
    <w:p>
      <w:pPr>
        <w:pStyle w:val="ListParagraph"/>
        <w:numPr>
          <w:ilvl w:val="0"/>
          <w:numId w:val="2"/>
        </w:numPr>
        <w:spacing w:after="60" w:before="60"/>
      </w:pPr>
      <w:r>
        <w:rPr>
          <w:rFonts w:ascii="Arial" w:cs="Arial" w:eastAsia="Arial" w:hAnsi="Arial"/>
          <w:color w:val="1A1A1A"/>
          <w:sz w:val="22"/>
          <w:szCs w:val="22"/>
        </w:rPr>
        <w:t xml:space="preserve">Improper application, including failure to follow the Dryko™ Primer Application Guide, inadequate surface preparation, or application over wet, frozen, or contaminated surfaces.</w:t>
      </w:r>
    </w:p>
    <w:p>
      <w:pPr>
        <w:pStyle w:val="ListParagraph"/>
        <w:numPr>
          <w:ilvl w:val="0"/>
          <w:numId w:val="2"/>
        </w:numPr>
        <w:spacing w:after="60" w:before="60"/>
      </w:pPr>
      <w:r>
        <w:rPr>
          <w:rFonts w:ascii="Arial" w:cs="Arial" w:eastAsia="Arial" w:hAnsi="Arial"/>
          <w:color w:val="1A1A1A"/>
          <w:sz w:val="22"/>
          <w:szCs w:val="22"/>
        </w:rPr>
        <w:t xml:space="preserve">Structural movement, settlement, cracking, or failure of the underlying substrate or building structure.</w:t>
      </w:r>
    </w:p>
    <w:p>
      <w:pPr>
        <w:pStyle w:val="ListParagraph"/>
        <w:numPr>
          <w:ilvl w:val="0"/>
          <w:numId w:val="2"/>
        </w:numPr>
        <w:spacing w:after="60" w:before="60"/>
      </w:pPr>
      <w:r>
        <w:rPr>
          <w:rFonts w:ascii="Arial" w:cs="Arial" w:eastAsia="Arial" w:hAnsi="Arial"/>
          <w:color w:val="1A1A1A"/>
          <w:sz w:val="22"/>
          <w:szCs w:val="22"/>
        </w:rPr>
        <w:t xml:space="preserve">Physical damage caused by impact, puncture, foot traffic, falling objects, vandalism, or acts of God including hurricanes, hail exceeding 1.5", or seismic events.</w:t>
      </w:r>
    </w:p>
    <w:p>
      <w:pPr>
        <w:pStyle w:val="ListParagraph"/>
        <w:numPr>
          <w:ilvl w:val="0"/>
          <w:numId w:val="2"/>
        </w:numPr>
        <w:spacing w:after="60" w:before="60"/>
      </w:pPr>
      <w:r>
        <w:rPr>
          <w:rFonts w:ascii="Arial" w:cs="Arial" w:eastAsia="Arial" w:hAnsi="Arial"/>
          <w:color w:val="1A1A1A"/>
          <w:sz w:val="22"/>
          <w:szCs w:val="22"/>
        </w:rPr>
        <w:t xml:space="preserve">Chemical exposure, including petroleum solvents, strong acids or bases, or any substance not listed as compatible in the product Technical Data Sheet.</w:t>
      </w:r>
    </w:p>
    <w:p>
      <w:pPr>
        <w:pStyle w:val="ListParagraph"/>
        <w:numPr>
          <w:ilvl w:val="0"/>
          <w:numId w:val="2"/>
        </w:numPr>
        <w:spacing w:after="60" w:before="60"/>
      </w:pPr>
      <w:r>
        <w:rPr>
          <w:rFonts w:ascii="Arial" w:cs="Arial" w:eastAsia="Arial" w:hAnsi="Arial"/>
          <w:color w:val="1A1A1A"/>
          <w:sz w:val="22"/>
          <w:szCs w:val="22"/>
        </w:rPr>
        <w:t xml:space="preserve">Failure of the overlying membrane or coating product applied over the primer.</w:t>
      </w:r>
    </w:p>
    <w:p>
      <w:pPr>
        <w:pStyle w:val="ListParagraph"/>
        <w:numPr>
          <w:ilvl w:val="0"/>
          <w:numId w:val="2"/>
        </w:numPr>
        <w:spacing w:after="60" w:before="60"/>
      </w:pPr>
      <w:r>
        <w:rPr>
          <w:rFonts w:ascii="Arial" w:cs="Arial" w:eastAsia="Arial" w:hAnsi="Arial"/>
          <w:color w:val="1A1A1A"/>
          <w:sz w:val="22"/>
          <w:szCs w:val="22"/>
        </w:rPr>
        <w:t xml:space="preserve">Application over existing coatings, sealants, or surfaces not specified as compatible in the Application Guide.</w:t>
      </w:r>
    </w:p>
    <w:p>
      <w:pPr>
        <w:pStyle w:val="ListParagraph"/>
        <w:numPr>
          <w:ilvl w:val="0"/>
          <w:numId w:val="2"/>
        </w:numPr>
        <w:spacing w:after="60" w:before="60"/>
      </w:pPr>
      <w:r>
        <w:rPr>
          <w:rFonts w:ascii="Arial" w:cs="Arial" w:eastAsia="Arial" w:hAnsi="Arial"/>
          <w:color w:val="1A1A1A"/>
          <w:sz w:val="22"/>
          <w:szCs w:val="22"/>
        </w:rPr>
        <w:t xml:space="preserve">Normal weathering, discoloration, or cosmetic changes that do not impair the primer’s bonding or penetration performance.</w:t>
      </w:r>
    </w:p>
    <w:p>
      <w:pPr>
        <w:pStyle w:val="ListParagraph"/>
        <w:numPr>
          <w:ilvl w:val="0"/>
          <w:numId w:val="2"/>
        </w:numPr>
        <w:spacing w:after="60" w:before="60"/>
      </w:pPr>
      <w:r>
        <w:rPr>
          <w:rFonts w:ascii="Arial" w:cs="Arial" w:eastAsia="Arial" w:hAnsi="Arial"/>
          <w:color w:val="1A1A1A"/>
          <w:sz w:val="22"/>
          <w:szCs w:val="22"/>
        </w:rPr>
        <w:t xml:space="preserve">Products purchased from unauthorized distributors or in opened/resealed containers.</w:t>
      </w:r>
    </w:p>
    <w:p>
      <w:pPr>
        <w:pStyle w:val="ListParagraph"/>
        <w:numPr>
          <w:ilvl w:val="0"/>
          <w:numId w:val="2"/>
        </w:numPr>
        <w:spacing w:after="60" w:before="60"/>
      </w:pPr>
      <w:r>
        <w:rPr>
          <w:rFonts w:ascii="Arial" w:cs="Arial" w:eastAsia="Arial" w:hAnsi="Arial"/>
          <w:color w:val="1A1A1A"/>
          <w:sz w:val="22"/>
          <w:szCs w:val="22"/>
        </w:rPr>
        <w:t xml:space="preserve">Primer left uncoated and exposed to the elements beyond the recoat window specified in the Application Guide.</w:t>
      </w:r>
    </w:p>
    <w:p>
      <w:pPr>
        <w:spacing w:after="0" w:before="160"/>
      </w:pPr>
      <w:r>
        <w:t xml:space="preserve"/>
      </w:r>
    </w:p>
    <w:p>
      <w:pPr>
        <w:pBdr>
          <w:bottom w:val="single" w:color="1A5276" w:sz="4" w:space="4"/>
        </w:pBdr>
        <w:spacing w:after="100" w:before="320"/>
      </w:pPr>
      <w:r>
        <w:rPr>
          <w:rFonts w:ascii="Arial" w:cs="Arial" w:eastAsia="Arial" w:hAnsi="Arial"/>
          <w:b/>
          <w:bCs/>
          <w:caps/>
          <w:color w:val="1A5276"/>
          <w:sz w:val="24"/>
          <w:szCs w:val="24"/>
        </w:rPr>
        <w:t xml:space="preserve">SECTION 3 — INSTALLATION REQUIREMENTS</w:t>
      </w:r>
    </w:p>
    <w:p>
      <w:pPr>
        <w:spacing w:after="80" w:before="60"/>
      </w:pPr>
      <w:r>
        <w:rPr>
          <w:rFonts w:ascii="Arial" w:cs="Arial" w:eastAsia="Arial" w:hAnsi="Arial"/>
          <w:color w:val="1A1A1A"/>
          <w:sz w:val="22"/>
          <w:szCs w:val="22"/>
        </w:rPr>
        <w:t xml:space="preserve">To maintain warranty validity, all of the following conditions must be met at time of application and documented:</w:t>
      </w:r>
    </w:p>
    <w:p>
      <w:pPr>
        <w:pStyle w:val="ListParagraph"/>
        <w:numPr>
          <w:ilvl w:val="0"/>
          <w:numId w:val="2"/>
        </w:numPr>
        <w:spacing w:after="60" w:before="60"/>
      </w:pPr>
      <w:r>
        <w:rPr>
          <w:rFonts w:ascii="Arial" w:cs="Arial" w:eastAsia="Arial" w:hAnsi="Arial"/>
          <w:color w:val="1A1A1A"/>
          <w:sz w:val="22"/>
          <w:szCs w:val="22"/>
        </w:rPr>
        <w:t xml:space="preserve">Recommended application temperatures: 40°F (4°C) to 120°F (49°C).</w:t>
      </w:r>
    </w:p>
    <w:p>
      <w:pPr>
        <w:pStyle w:val="ListParagraph"/>
        <w:numPr>
          <w:ilvl w:val="0"/>
          <w:numId w:val="2"/>
        </w:numPr>
        <w:spacing w:after="60" w:before="60"/>
      </w:pPr>
      <w:r>
        <w:rPr>
          <w:rFonts w:ascii="Arial" w:cs="Arial" w:eastAsia="Arial" w:hAnsi="Arial"/>
          <w:color w:val="1A1A1A"/>
          <w:sz w:val="22"/>
          <w:szCs w:val="22"/>
        </w:rPr>
        <w:t xml:space="preserve">Substrate moisture content must not exceed 12% as measured by a calibrated moisture meter.</w:t>
      </w:r>
    </w:p>
    <w:p>
      <w:pPr>
        <w:pStyle w:val="ListParagraph"/>
        <w:numPr>
          <w:ilvl w:val="0"/>
          <w:numId w:val="2"/>
        </w:numPr>
        <w:spacing w:after="60" w:before="60"/>
      </w:pPr>
      <w:r>
        <w:rPr>
          <w:rFonts w:ascii="Arial" w:cs="Arial" w:eastAsia="Arial" w:hAnsi="Arial"/>
          <w:color w:val="1A1A1A"/>
          <w:sz w:val="22"/>
          <w:szCs w:val="22"/>
        </w:rPr>
        <w:t xml:space="preserve">All surfaces must be free of oil, grease, loose material, standing water, frost, or ice.</w:t>
      </w:r>
    </w:p>
    <w:p>
      <w:pPr>
        <w:pStyle w:val="ListParagraph"/>
        <w:numPr>
          <w:ilvl w:val="0"/>
          <w:numId w:val="2"/>
        </w:numPr>
        <w:spacing w:after="60" w:before="60"/>
      </w:pPr>
      <w:r>
        <w:rPr>
          <w:rFonts w:ascii="Arial" w:cs="Arial" w:eastAsia="Arial" w:hAnsi="Arial"/>
          <w:color w:val="1A1A1A"/>
          <w:sz w:val="22"/>
          <w:szCs w:val="22"/>
        </w:rPr>
        <w:t xml:space="preserve">Compatible overlying membrane or roofing product must be applied within the recoat window specified on the product label.</w:t>
      </w:r>
    </w:p>
    <w:p>
      <w:pPr>
        <w:pStyle w:val="ListParagraph"/>
        <w:numPr>
          <w:ilvl w:val="0"/>
          <w:numId w:val="2"/>
        </w:numPr>
        <w:spacing w:after="60" w:before="60"/>
      </w:pPr>
      <w:r>
        <w:rPr>
          <w:rFonts w:ascii="Arial" w:cs="Arial" w:eastAsia="Arial" w:hAnsi="Arial"/>
          <w:color w:val="1A1A1A"/>
          <w:sz w:val="22"/>
          <w:szCs w:val="22"/>
        </w:rPr>
        <w:t xml:space="preserve">Product must be applied within 24 months of manufacture date as printed on the container.</w:t>
      </w:r>
    </w:p>
    <w:p>
      <w:pPr>
        <w:spacing w:after="80" w:before="60"/>
      </w:pPr>
      <w:r>
        <w:rPr>
          <w:rFonts w:ascii="Arial" w:cs="Arial" w:eastAsia="Arial" w:hAnsi="Arial"/>
          <w:color w:val="1A1A1A"/>
          <w:sz w:val="22"/>
          <w:szCs w:val="22"/>
        </w:rPr>
        <w:t xml:space="preserve">BSKR Brands LLC recommends retaining the following documentation to support any future warranty claim: proof of purchase (receipt or invoice), product batch number, application date, applicator name, and photographs of the prepared surface prior to application.</w:t>
      </w:r>
    </w:p>
    <w:p>
      <w:pPr>
        <w:spacing w:after="0" w:before="160"/>
      </w:pPr>
      <w:r>
        <w:t xml:space="preserve"/>
      </w:r>
    </w:p>
    <w:p>
      <w:pPr>
        <w:pBdr>
          <w:bottom w:val="single" w:color="1A5276" w:sz="4" w:space="4"/>
        </w:pBdr>
        <w:spacing w:after="100" w:before="320"/>
      </w:pPr>
      <w:r>
        <w:rPr>
          <w:rFonts w:ascii="Arial" w:cs="Arial" w:eastAsia="Arial" w:hAnsi="Arial"/>
          <w:b/>
          <w:bCs/>
          <w:caps/>
          <w:color w:val="1A5276"/>
          <w:sz w:val="24"/>
          <w:szCs w:val="24"/>
        </w:rPr>
        <w:t xml:space="preserve">SECTION 4 — CLAIM PROCEDURE</w:t>
      </w:r>
    </w:p>
    <w:p>
      <w:pPr>
        <w:spacing w:after="80" w:before="60"/>
      </w:pPr>
      <w:r>
        <w:rPr>
          <w:rFonts w:ascii="Arial" w:cs="Arial" w:eastAsia="Arial" w:hAnsi="Arial"/>
          <w:color w:val="1A1A1A"/>
          <w:sz w:val="22"/>
          <w:szCs w:val="22"/>
        </w:rPr>
        <w:t xml:space="preserve">To submit a warranty claim, the warrantor must:</w:t>
      </w:r>
    </w:p>
    <w:p>
      <w:pPr>
        <w:pStyle w:val="ListParagraph"/>
        <w:numPr>
          <w:ilvl w:val="0"/>
          <w:numId w:val="2"/>
        </w:numPr>
        <w:spacing w:after="60" w:before="60"/>
      </w:pPr>
      <w:r>
        <w:rPr>
          <w:rFonts w:ascii="Arial" w:cs="Arial" w:eastAsia="Arial" w:hAnsi="Arial"/>
          <w:color w:val="1A1A1A"/>
          <w:sz w:val="22"/>
          <w:szCs w:val="22"/>
        </w:rPr>
        <w:t xml:space="preserve">Step 1 — Notify BSKR Brands LLC in writing within sixty (60) days of first observing the alleged defect. Claims submitted after 60 days may be denied.</w:t>
      </w:r>
    </w:p>
    <w:p>
      <w:pPr>
        <w:pStyle w:val="ListParagraph"/>
        <w:numPr>
          <w:ilvl w:val="0"/>
          <w:numId w:val="2"/>
        </w:numPr>
        <w:spacing w:after="60" w:before="60"/>
      </w:pPr>
      <w:r>
        <w:rPr>
          <w:rFonts w:ascii="Arial" w:cs="Arial" w:eastAsia="Arial" w:hAnsi="Arial"/>
          <w:color w:val="1A1A1A"/>
          <w:sz w:val="22"/>
          <w:szCs w:val="22"/>
        </w:rPr>
        <w:t xml:space="preserve">Step 2 — BSKR Brands LLC will acknowledge receipt of a complete claim within ten (10) business days and will conduct a desk or field review within thirty (30) business days. BSKR Brands LLC reserves the right to inspect the application site prior to approving any claim.</w:t>
      </w:r>
    </w:p>
    <w:p>
      <w:pPr>
        <w:pStyle w:val="ListParagraph"/>
        <w:numPr>
          <w:ilvl w:val="0"/>
          <w:numId w:val="2"/>
        </w:numPr>
        <w:spacing w:after="60" w:before="60"/>
      </w:pPr>
      <w:r>
        <w:rPr>
          <w:rFonts w:ascii="Arial" w:cs="Arial" w:eastAsia="Arial" w:hAnsi="Arial"/>
          <w:color w:val="1A1A1A"/>
          <w:sz w:val="22"/>
          <w:szCs w:val="22"/>
        </w:rPr>
        <w:t xml:space="preserve">Step 3 — Upon approval, BSKR Brands LLC will fulfill the approved remedy (see Section 5) within fifteen (15) business days of claim approval.</w:t>
      </w:r>
    </w:p>
    <w:p>
      <w:pPr>
        <w:spacing w:after="80" w:before="60"/>
      </w:pPr>
      <w:r>
        <w:rPr>
          <w:rFonts w:ascii="Arial" w:cs="Arial" w:eastAsia="Arial" w:hAnsi="Arial"/>
          <w:color w:val="1A1A1A"/>
          <w:sz w:val="22"/>
          <w:szCs w:val="22"/>
        </w:rPr>
        <w:t xml:space="preserve">Claims should be submitted to info@bskrbrands.com.</w:t>
      </w:r>
    </w:p>
    <w:p>
      <w:pPr>
        <w:spacing w:after="0" w:before="160"/>
      </w:pPr>
      <w:r>
        <w:t xml:space="preserve"/>
      </w:r>
    </w:p>
    <w:p>
      <w:pPr>
        <w:pBdr>
          <w:bottom w:val="single" w:color="1A5276" w:sz="4" w:space="4"/>
        </w:pBdr>
        <w:spacing w:after="100" w:before="320"/>
      </w:pPr>
      <w:r>
        <w:rPr>
          <w:rFonts w:ascii="Arial" w:cs="Arial" w:eastAsia="Arial" w:hAnsi="Arial"/>
          <w:b/>
          <w:bCs/>
          <w:caps/>
          <w:color w:val="1A5276"/>
          <w:sz w:val="24"/>
          <w:szCs w:val="24"/>
        </w:rPr>
        <w:t xml:space="preserve">SECTION 5 — REMEDIES</w:t>
      </w:r>
    </w:p>
    <w:p>
      <w:pPr>
        <w:spacing w:after="80" w:before="60"/>
      </w:pPr>
      <w:r>
        <w:rPr>
          <w:rFonts w:ascii="Arial" w:cs="Arial" w:eastAsia="Arial" w:hAnsi="Arial"/>
          <w:color w:val="1A1A1A"/>
          <w:sz w:val="22"/>
          <w:szCs w:val="22"/>
        </w:rPr>
        <w:t xml:space="preserve">Upon verification of a valid warranty claim, BSKR Brands LLC will provide one of the following remedies at BSKR Brands LLC’s sole discretion:</w:t>
      </w:r>
    </w:p>
    <w:p>
      <w:pPr>
        <w:pStyle w:val="ListParagraph"/>
        <w:numPr>
          <w:ilvl w:val="0"/>
          <w:numId w:val="2"/>
        </w:numPr>
        <w:spacing w:after="60" w:before="60"/>
      </w:pPr>
      <w:r>
        <w:rPr>
          <w:rFonts w:ascii="Arial" w:cs="Arial" w:eastAsia="Arial" w:hAnsi="Arial"/>
          <w:color w:val="1A1A1A"/>
          <w:sz w:val="22"/>
          <w:szCs w:val="22"/>
        </w:rPr>
        <w:t xml:space="preserve">Replacement product: BSKR Brands LLC will provide sufficient replacement product, at no charge, to re-prime the affected area as identified in the approved claim.</w:t>
      </w:r>
    </w:p>
    <w:p>
      <w:pPr>
        <w:pStyle w:val="ListParagraph"/>
        <w:numPr>
          <w:ilvl w:val="0"/>
          <w:numId w:val="2"/>
        </w:numPr>
        <w:spacing w:after="60" w:before="60"/>
      </w:pPr>
      <w:r>
        <w:rPr>
          <w:rFonts w:ascii="Arial" w:cs="Arial" w:eastAsia="Arial" w:hAnsi="Arial"/>
          <w:color w:val="1A1A1A"/>
          <w:sz w:val="22"/>
          <w:szCs w:val="22"/>
        </w:rPr>
        <w:t xml:space="preserve">Prorated refund: For claims submitted after Year 3 of the warranty term, BSKR Brands LLC may elect to provide a prorated refund of the original purchase price of the defective product in lieu of replacement, calculated as follows:</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3240"/>
        <w:gridCol w:w="3240"/>
      </w:tblGrid>
      <w:tr>
        <w:tc>
          <w:tcPr>
            <w:tcW w:type="dxa" w:w="324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tcPr>
          <w:p>
            <w:r>
              <w:rPr>
                <w:rFonts w:ascii="Arial" w:cs="Arial" w:eastAsia="Arial" w:hAnsi="Arial"/>
                <w:b/>
                <w:bCs/>
                <w:color w:val="FFFFFF"/>
                <w:sz w:val="20"/>
                <w:szCs w:val="20"/>
              </w:rPr>
              <w:t xml:space="preserve">Warranty Year</w:t>
            </w:r>
          </w:p>
        </w:tc>
        <w:tc>
          <w:tcPr>
            <w:tcW w:type="dxa" w:w="3240"/>
            <w:tcBorders>
              <w:top w:val="single" w:color="CCCCCC" w:sz="1"/>
              <w:left w:val="single" w:color="CCCCCC" w:sz="1"/>
              <w:bottom w:val="single" w:color="CCCCCC" w:sz="1"/>
              <w:right w:val="single" w:color="CCCCCC" w:sz="1"/>
            </w:tcBorders>
            <w:shd w:fill="1A5276" w:val="clear"/>
            <w:tcMar>
              <w:top w:type="dxa" w:w="80"/>
              <w:left w:type="dxa" w:w="120"/>
              <w:bottom w:type="dxa" w:w="80"/>
              <w:right w:type="dxa" w:w="120"/>
            </w:tcMar>
          </w:tcPr>
          <w:p>
            <w:r>
              <w:rPr>
                <w:rFonts w:ascii="Arial" w:cs="Arial" w:eastAsia="Arial" w:hAnsi="Arial"/>
                <w:b/>
                <w:bCs/>
                <w:color w:val="FFFFFF"/>
                <w:sz w:val="20"/>
                <w:szCs w:val="20"/>
              </w:rPr>
              <w:t xml:space="preserve">Refund of Purchase Price</w:t>
            </w:r>
          </w:p>
        </w:tc>
      </w:tr>
      <w:tr>
        <w:tc>
          <w:tcPr>
            <w:tcW w:type="dxa" w:w="360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b/>
                <w:bCs/>
                <w:color w:val="1A1A1A"/>
                <w:sz w:val="20"/>
                <w:szCs w:val="20"/>
              </w:rPr>
              <w:t xml:space="preserve">Years 1–3</w:t>
            </w:r>
          </w:p>
        </w:tc>
        <w:tc>
          <w:tcPr>
            <w:tcW w:type="dxa" w:w="576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color w:val="1A1A1A"/>
                <w:sz w:val="20"/>
                <w:szCs w:val="20"/>
              </w:rPr>
              <w:t xml:space="preserve">100%</w:t>
            </w:r>
          </w:p>
        </w:tc>
      </w:tr>
      <w:tr>
        <w:tc>
          <w:tcPr>
            <w:tcW w:type="dxa" w:w="360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b/>
                <w:bCs/>
                <w:color w:val="1A1A1A"/>
                <w:sz w:val="20"/>
                <w:szCs w:val="20"/>
              </w:rPr>
              <w:t xml:space="preserve">Year 4</w:t>
            </w:r>
          </w:p>
        </w:tc>
        <w:tc>
          <w:tcPr>
            <w:tcW w:type="dxa" w:w="5760"/>
            <w:tcBorders>
              <w:top w:val="single" w:color="CCCCCC" w:sz="1"/>
              <w:left w:val="single" w:color="CCCCCC" w:sz="1"/>
              <w:bottom w:val="single" w:color="CCCCCC" w:sz="1"/>
              <w:right w:val="single" w:color="CCCCCC" w:sz="1"/>
            </w:tcBorders>
            <w:shd w:fill="FFFFFF" w:val="clear"/>
            <w:tcMar>
              <w:top w:type="dxa" w:w="100"/>
              <w:left w:type="dxa" w:w="140"/>
              <w:bottom w:type="dxa" w:w="100"/>
              <w:right w:type="dxa" w:w="100"/>
            </w:tcMar>
          </w:tcPr>
          <w:p>
            <w:r>
              <w:rPr>
                <w:rFonts w:ascii="Arial" w:cs="Arial" w:eastAsia="Arial" w:hAnsi="Arial"/>
                <w:color w:val="1A1A1A"/>
                <w:sz w:val="20"/>
                <w:szCs w:val="20"/>
              </w:rPr>
              <w:t xml:space="preserve">50%</w:t>
            </w:r>
          </w:p>
        </w:tc>
      </w:tr>
      <w:tr>
        <w:tc>
          <w:tcPr>
            <w:tcW w:type="dxa" w:w="360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b/>
                <w:bCs/>
                <w:color w:val="1A1A1A"/>
                <w:sz w:val="20"/>
                <w:szCs w:val="20"/>
              </w:rPr>
              <w:t xml:space="preserve">Year 5</w:t>
            </w:r>
          </w:p>
        </w:tc>
        <w:tc>
          <w:tcPr>
            <w:tcW w:type="dxa" w:w="5760"/>
            <w:tcBorders>
              <w:top w:val="single" w:color="CCCCCC" w:sz="1"/>
              <w:left w:val="single" w:color="CCCCCC" w:sz="1"/>
              <w:bottom w:val="single" w:color="CCCCCC" w:sz="1"/>
              <w:right w:val="single" w:color="CCCCCC" w:sz="1"/>
            </w:tcBorders>
            <w:shd w:fill="EAF4FB" w:val="clear"/>
            <w:tcMar>
              <w:top w:type="dxa" w:w="100"/>
              <w:left w:type="dxa" w:w="140"/>
              <w:bottom w:type="dxa" w:w="100"/>
              <w:right w:type="dxa" w:w="100"/>
            </w:tcMar>
          </w:tcPr>
          <w:p>
            <w:r>
              <w:rPr>
                <w:rFonts w:ascii="Arial" w:cs="Arial" w:eastAsia="Arial" w:hAnsi="Arial"/>
                <w:color w:val="1A1A1A"/>
                <w:sz w:val="20"/>
                <w:szCs w:val="20"/>
              </w:rPr>
              <w:t xml:space="preserve">25%</w:t>
            </w:r>
          </w:p>
        </w:tc>
      </w:tr>
    </w:tbl>
    <w:p>
      <w:pPr>
        <w:spacing w:after="0" w:before="100"/>
      </w:pPr>
      <w:r>
        <w:t xml:space="preserve"/>
      </w:r>
    </w:p>
    <w:p>
      <w:pPr>
        <w:spacing w:after="80" w:before="60"/>
      </w:pPr>
      <w:r>
        <w:rPr>
          <w:rFonts w:ascii="Arial" w:cs="Arial" w:eastAsia="Arial" w:hAnsi="Arial"/>
          <w:color w:val="1A1A1A"/>
          <w:sz w:val="22"/>
          <w:szCs w:val="22"/>
        </w:rPr>
        <w:t xml:space="preserve">THIS WARRANTY DOES NOT COVER LABOR, REMOVAL, DISPOSAL, OR REINSTALLATION COSTS UNLESS SEPARATELY AGREED IN WRITING BY BSKR BRANDS LLC. The remedies set forth in this Section are the exclusive remedies under this warranty.</w:t>
      </w:r>
    </w:p>
    <w:p>
      <w:pPr>
        <w:spacing w:after="0" w:before="160"/>
      </w:pPr>
      <w:r>
        <w:t xml:space="preserve"/>
      </w:r>
    </w:p>
    <w:p>
      <w:pPr>
        <w:pBdr>
          <w:bottom w:val="single" w:color="1A5276" w:sz="4" w:space="4"/>
        </w:pBdr>
        <w:spacing w:after="100" w:before="320"/>
      </w:pPr>
      <w:r>
        <w:rPr>
          <w:rFonts w:ascii="Arial" w:cs="Arial" w:eastAsia="Arial" w:hAnsi="Arial"/>
          <w:b/>
          <w:bCs/>
          <w:caps/>
          <w:color w:val="1A5276"/>
          <w:sz w:val="24"/>
          <w:szCs w:val="24"/>
        </w:rPr>
        <w:t xml:space="preserve">SECTION 6 — LIMITATION OF LIABILITY</w:t>
      </w:r>
    </w:p>
    <w:p>
      <w:pPr>
        <w:spacing w:after="80" w:before="60"/>
      </w:pPr>
      <w:r>
        <w:rPr>
          <w:rFonts w:ascii="Arial" w:cs="Arial" w:eastAsia="Arial" w:hAnsi="Arial"/>
          <w:color w:val="1A1A1A"/>
          <w:sz w:val="22"/>
          <w:szCs w:val="22"/>
        </w:rPr>
        <w:t xml:space="preserve">TO THE MAXIMUM EXTENT PERMITTED BY APPLICABLE LAW:</w:t>
      </w:r>
    </w:p>
    <w:p>
      <w:pPr>
        <w:pStyle w:val="ListParagraph"/>
        <w:numPr>
          <w:ilvl w:val="0"/>
          <w:numId w:val="2"/>
        </w:numPr>
        <w:spacing w:after="60" w:before="60"/>
      </w:pPr>
      <w:r>
        <w:rPr>
          <w:rFonts w:ascii="Arial" w:cs="Arial" w:eastAsia="Arial" w:hAnsi="Arial"/>
          <w:color w:val="1A1A1A"/>
          <w:sz w:val="22"/>
          <w:szCs w:val="22"/>
        </w:rPr>
        <w:t xml:space="preserve">BSKR BRANDS LLC’S TOTAL LIABILITY UNDER THIS WARRANTY SHALL NOT EXCEED THE ORIGINAL PURCHASE PRICE PAID FOR THE DEFECTIVE PRODUCT.</w:t>
      </w:r>
    </w:p>
    <w:p>
      <w:pPr>
        <w:pStyle w:val="ListParagraph"/>
        <w:numPr>
          <w:ilvl w:val="0"/>
          <w:numId w:val="2"/>
        </w:numPr>
        <w:spacing w:after="60" w:before="60"/>
      </w:pPr>
      <w:r>
        <w:rPr>
          <w:rFonts w:ascii="Arial" w:cs="Arial" w:eastAsia="Arial" w:hAnsi="Arial"/>
          <w:color w:val="1A1A1A"/>
          <w:sz w:val="22"/>
          <w:szCs w:val="22"/>
        </w:rPr>
        <w:t xml:space="preserve">IN NO EVENT SHALL BSKR BRANDS LLC BE LIABLE FOR ANY INDIRECT, INCIDENTAL, CONSEQUENTIAL, SPECIAL, OR PUNITIVE DAMAGES, INCLUDING BUT NOT LIMITED TO PROPERTY DAMAGE, WATER INTRUSION DAMAGE, PERSONAL INJURY, OR LOST PROFITS, WHETHER BASED ON CONTRACT, TORT, STRICT LIABILITY, OR ANY OTHER THEORY, EVEN IF BSKR BRANDS LLC HAS BEEN ADVISED OF THE POSSIBILITY OF SUCH DAMAGES.</w:t>
      </w:r>
    </w:p>
    <w:p>
      <w:pPr>
        <w:spacing w:after="80" w:before="60"/>
      </w:pPr>
      <w:r>
        <w:rPr>
          <w:rFonts w:ascii="Arial" w:cs="Arial" w:eastAsia="Arial" w:hAnsi="Arial"/>
          <w:color w:val="1A1A1A"/>
          <w:sz w:val="22"/>
          <w:szCs w:val="22"/>
        </w:rPr>
        <w:t xml:space="preserve">Some states or jurisdictions do not allow limitations on implied warranties or exclusion of consequential damages, so the above limitations may not apply to you. This warranty gives you specific legal rights, and you may also have other rights which vary by state.</w:t>
      </w:r>
    </w:p>
    <w:p>
      <w:pPr>
        <w:spacing w:after="0" w:before="160"/>
      </w:pPr>
      <w:r>
        <w:t xml:space="preserve"/>
      </w:r>
    </w:p>
    <w:p>
      <w:pPr>
        <w:pBdr>
          <w:bottom w:val="single" w:color="1A5276" w:sz="4" w:space="4"/>
        </w:pBdr>
        <w:spacing w:after="100" w:before="320"/>
      </w:pPr>
      <w:r>
        <w:rPr>
          <w:rFonts w:ascii="Arial" w:cs="Arial" w:eastAsia="Arial" w:hAnsi="Arial"/>
          <w:b/>
          <w:bCs/>
          <w:caps/>
          <w:color w:val="1A5276"/>
          <w:sz w:val="24"/>
          <w:szCs w:val="24"/>
        </w:rPr>
        <w:t xml:space="preserve">SECTION 7 — GOVERNING LAW &amp; DISPUTE RESOLUTION</w:t>
      </w:r>
    </w:p>
    <w:p>
      <w:pPr>
        <w:spacing w:after="80" w:before="60"/>
      </w:pPr>
      <w:r>
        <w:rPr>
          <w:rFonts w:ascii="Arial" w:cs="Arial" w:eastAsia="Arial" w:hAnsi="Arial"/>
          <w:color w:val="1A1A1A"/>
          <w:sz w:val="22"/>
          <w:szCs w:val="22"/>
        </w:rPr>
        <w:t xml:space="preserve">This warranty shall be governed by and construed in accordance with the laws of the State of Florida, without regard to its conflict-of-law principles. Any dispute arising under this warranty that cannot be resolved informally shall be submitted to binding arbitration under the rules of the American Arbitration Association, with proceedings conducted in Orlando, FL. The arbitrator’s decision shall be final and binding, and judgment upon the award may be entered in any court of competent jurisdiction.</w:t>
      </w:r>
    </w:p>
    <w:p>
      <w:pPr>
        <w:spacing w:after="0" w:before="160"/>
      </w:pPr>
      <w:r>
        <w:t xml:space="preserve"/>
      </w:r>
    </w:p>
    <w:p>
      <w:pPr>
        <w:pBdr>
          <w:bottom w:val="single" w:color="1A5276" w:sz="4" w:space="4"/>
        </w:pBdr>
        <w:spacing w:after="100" w:before="320"/>
      </w:pPr>
      <w:r>
        <w:rPr>
          <w:rFonts w:ascii="Arial" w:cs="Arial" w:eastAsia="Arial" w:hAnsi="Arial"/>
          <w:b/>
          <w:bCs/>
          <w:caps/>
          <w:color w:val="1A5276"/>
          <w:sz w:val="24"/>
          <w:szCs w:val="24"/>
        </w:rPr>
        <w:t xml:space="preserve">SECTION 8 — ENTIRE AGREEMENT</w:t>
      </w:r>
    </w:p>
    <w:p>
      <w:pPr>
        <w:spacing w:after="80" w:before="60"/>
      </w:pPr>
      <w:r>
        <w:rPr>
          <w:rFonts w:ascii="Arial" w:cs="Arial" w:eastAsia="Arial" w:hAnsi="Arial"/>
          <w:color w:val="1A1A1A"/>
          <w:sz w:val="22"/>
          <w:szCs w:val="22"/>
        </w:rPr>
        <w:t xml:space="preserve">This Limited Warranty constitutes the entire agreement between BSKR Brands LLC and the warrantor with respect to warranty coverage for the Dryko™ Primer product, and supersedes all prior representations, warranties, or agreements, whether oral or written. No distributor, retailer, or third party is authorized to modify the terms of this warranty. Any modification must be in writing and signed by an authorized officer of BSKR Brands LLC.</w:t>
      </w:r>
    </w:p>
    <w:p>
      <w:pPr>
        <w:spacing w:after="0" w:before="200"/>
      </w:pPr>
      <w:r>
        <w:t xml:space="preserve"/>
      </w:r>
    </w:p>
    <w:p>
      <w:pPr>
        <w:spacing w:after="60" w:before="160"/>
        <w:jc w:val="center"/>
      </w:pPr>
      <w:r>
        <w:rPr>
          <w:rFonts w:ascii="Arial" w:cs="Arial" w:eastAsia="Arial" w:hAnsi="Arial"/>
          <w:color w:val="888888"/>
          <w:sz w:val="18"/>
          <w:szCs w:val="18"/>
        </w:rPr>
        <w:t xml:space="preserve">BSKR Brands LLC  |  info@bskrbrands.com</w:t>
      </w:r>
    </w:p>
    <w:p>
      <w:pPr>
        <w:spacing w:after="0" w:before="0"/>
        <w:jc w:val="center"/>
      </w:pPr>
      <w:r>
        <w:rPr>
          <w:rFonts w:ascii="Arial" w:cs="Arial" w:eastAsia="Arial" w:hAnsi="Arial"/>
          <w:color w:val="AAAAAA"/>
          <w:sz w:val="18"/>
          <w:szCs w:val="18"/>
        </w:rPr>
        <w:t xml:space="preserve">© 2025 BSKR Brands LLC. All rights reserved. Document version 1.0.</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100"/>
      <w:jc w:val="center"/>
    </w:pPr>
    <w:r>
      <w:rPr>
        <w:rFonts w:ascii="Arial" w:cs="Arial" w:eastAsia="Arial" w:hAnsi="Arial"/>
        <w:color w:val="888888"/>
        <w:sz w:val="18"/>
        <w:szCs w:val="18"/>
      </w:rPr>
      <w:t xml:space="preserve">BSKR Brands LLC  |  Dryko™ Primer  |  HTS 3214.90.5000  |  Page </w:t>
    </w:r>
    <w:r>
      <w:rPr>
        <w:rFonts w:ascii="Arial" w:cs="Arial" w:eastAsia="Arial" w:hAnsi="Arial"/>
        <w:color w:val="888888"/>
        <w:sz w:val="18"/>
        <w:szCs w:val="18"/>
      </w:rPr>
      <w:fldChar w:fldCharType="begin"/>
      <w:instrText xml:space="preserve">PAGE</w:instrText>
      <w:fldChar w:fldCharType="separate"/>
      <w:fldChar w:fldCharType="end"/>
    </w:r>
    <w:r>
      <w:rPr>
        <w:rFonts w:ascii="Arial" w:cs="Arial" w:eastAsia="Arial" w:hAnsi="Arial"/>
        <w:color w:val="888888"/>
        <w:sz w:val="18"/>
        <w:szCs w:val="18"/>
      </w:rPr>
      <w:t xml:space="preserve"> of </w:t>
    </w:r>
    <w:r>
      <w:rPr>
        <w:rFonts w:ascii="Arial" w:cs="Arial" w:eastAsia="Arial" w:hAnsi="Arial"/>
        <w:color w:val="888888"/>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A5276" w:sz="6" w:space="4"/>
      </w:pBdr>
      <w:spacing w:after="160" w:before="0"/>
    </w:pPr>
    <w:r>
      <w:rPr>
        <w:rFonts w:ascii="Arial" w:cs="Arial" w:eastAsia="Arial" w:hAnsi="Arial"/>
        <w:b/>
        <w:bCs/>
        <w:caps/>
        <w:color w:val="1A5276"/>
        <w:sz w:val="20"/>
        <w:szCs w:val="20"/>
      </w:rPr>
      <w:t xml:space="preserve">DRYKO™ PRIMER  |  5-YEAR LIMITED WARRANTY  |  BSKR BRANDS LLC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Arial" w:cs="Arial" w:eastAsia="Arial" w:hAnsi="Arial"/>
      <w:b/>
      <w:bCs/>
      <w:color w:val="1A5276"/>
      <w:sz w:val="28"/>
      <w:szCs w:val="28"/>
    </w:rPr>
  </w:style>
  <w:style w:type="paragraph" w:styleId="Heading2">
    <w:name w:val="Heading 2"/>
    <w:basedOn w:val="Normal"/>
    <w:next w:val="Normal"/>
    <w:qFormat/>
    <w:pPr>
      <w:spacing w:after="100" w:before="200"/>
      <w:outlineLvl w:val="1"/>
    </w:pPr>
    <w:rPr>
      <w:rFonts w:ascii="Arial" w:cs="Arial" w:eastAsia="Arial" w:hAnsi="Arial"/>
      <w:b/>
      <w:bCs/>
      <w:color w:val="1A527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2026-06-01T16:31:48.635Z</dcterms:created>
  <dcterms:modified xsi:type="dcterms:W3CDTF">2026-06-01T16:31:48.657Z</dcterms:modified>
</cp:coreProperties>
</file>

<file path=docProps/custom.xml><?xml version="1.0" encoding="utf-8"?>
<Properties xmlns="http://schemas.openxmlformats.org/officeDocument/2006/custom-properties" xmlns:vt="http://schemas.openxmlformats.org/officeDocument/2006/docPropsVTypes"/>
</file>