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60"/>
              <w:left w:type="dxa" w:w="160"/>
              <w:bottom w:type="dxa" w:w="100"/>
              <w:right w:type="dxa" w:w="160"/>
            </w:tcMar>
            <w:vAlign w:val="center"/>
          </w:tcPr>
          <w:p>
            <w:pPr>
              <w:spacing w:after="0"/>
              <w:jc w:val="center"/>
            </w:pPr>
            <w:r>
              <w:rPr>
                <w:rFonts w:ascii="Arial" w:cs="Arial" w:eastAsia="Arial" w:hAnsi="Arial"/>
                <w:b/>
                <w:bCs/>
                <w:color w:val="FFFFFF"/>
                <w:sz w:val="40"/>
                <w:szCs w:val="40"/>
              </w:rPr>
              <w:t xml:space="preserve">SAFETY DATA SHEET</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1B4F72" w:val="clear"/>
            <w:tcMar>
              <w:top w:type="dxa" w:w="100"/>
              <w:left w:type="dxa" w:w="160"/>
              <w:bottom w:type="dxa" w:w="100"/>
              <w:right w:type="dxa" w:w="160"/>
            </w:tcMar>
          </w:tcPr>
          <w:p>
            <w:pPr>
              <w:spacing w:after="0"/>
              <w:jc w:val="center"/>
            </w:pPr>
            <w:r>
              <w:rPr>
                <w:rFonts w:ascii="Arial" w:cs="Arial" w:eastAsia="Arial" w:hAnsi="Arial"/>
                <w:b/>
                <w:bCs/>
                <w:color w:val="C8A951"/>
                <w:sz w:val="22"/>
                <w:szCs w:val="22"/>
              </w:rPr>
              <w:t xml:space="preserve">Dryko™ Asphalt Primer  –  Solvent-Based Bituminous Primer</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80"/>
              <w:left w:type="dxa" w:w="160"/>
              <w:bottom w:type="dxa" w:w="80"/>
              <w:right w:type="dxa" w:w="160"/>
            </w:tcMar>
          </w:tcPr>
          <w:p>
            <w:pPr>
              <w:spacing w:after="0"/>
              <w:jc w:val="center"/>
            </w:pPr>
            <w:r>
              <w:rPr>
                <w:rFonts w:ascii="Arial" w:cs="Arial" w:eastAsia="Arial" w:hAnsi="Arial"/>
                <w:color w:val="D6E8F7"/>
                <w:sz w:val="16"/>
                <w:szCs w:val="16"/>
              </w:rPr>
              <w:t xml:space="preserve">HTS Code: 2715.00.0000  |  Revision Date: May 2026  |  Supersedes: January 2026  |  Version: 2.0</w:t>
            </w:r>
          </w:p>
        </w:tc>
      </w:tr>
    </w:tbl>
    <w:p>
      <w:pPr>
        <w:spacing w:after="12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1   –   IDENTIFICATION</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Product Name</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Dryko™ Asphalt Primer – Solvent-Based Bituminous Primer</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Trade Name / Brand</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Dryko™ Asphalt Primer</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HTS Code</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2715.00.0000 – Bituminous mixtures based on natural asphalt, bitumen, or mineral tar</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Recommended Use</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Surface primer for asphalt-based membranes, self-adhering sheets, and modified bitumen roofing systems. Promotes adhesion on concrete, masonry, wood, metal, and existing asphalt surfaces.</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Restrictions</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Not for use on EPDM, TPO, PVC, or other synthetic rubber membranes without compatibility testing</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Manufacturer</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Industria Dryko Ltda., Brazil</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US Distributor</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BSKR Brands LLC
2040 Palm Bay Rd NE, Unit 6 #161, Palm Bay, FL 32905</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Phone</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(321) 285-9908</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Email / Website</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info@bskrbrands.com  |  www.bskrbrands.com</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Emergency Contact</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CHEMTREC: 1-800-424-9300 (24-hour)</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2   –   HAZARD IDENTIFICATION</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1E6B2E" w:val="clear"/>
            <w:tcMar>
              <w:top w:type="dxa" w:w="80"/>
              <w:left w:type="dxa" w:w="160"/>
              <w:bottom w:type="dxa" w:w="80"/>
              <w:right w:type="dxa" w:w="160"/>
            </w:tcMar>
          </w:tcPr>
          <w:p>
            <w:pPr>
              <w:spacing w:after="0"/>
              <w:jc w:val="center"/>
            </w:pPr>
            <w:r>
              <w:rPr>
                <w:rFonts w:ascii="Arial" w:cs="Arial" w:eastAsia="Arial" w:hAnsi="Arial"/>
                <w:b/>
                <w:bCs/>
                <w:color w:val="FFFFFF"/>
                <w:sz w:val="18"/>
                <w:szCs w:val="18"/>
              </w:rPr>
              <w:t xml:space="preserve">GHS Signal Word: WARNING  |  Flammable Liquid Cat. 3  |  Skin/Eye Irritant</w:t>
            </w:r>
          </w:p>
        </w:tc>
      </w:tr>
    </w:tbl>
    <w:p>
      <w:pPr>
        <w:spacing w:after="60"/>
      </w:pPr>
      <w:r>
        <w:rPr>
          <w:rFonts w:ascii="Arial" w:cs="Arial" w:eastAsia="Arial" w:hAnsi="Arial"/>
          <w:sz w:val="20"/>
          <w:szCs w:val="20"/>
        </w:rPr>
        <w:t xml:space="preserve"/>
      </w:r>
    </w:p>
    <w:p>
      <w:pPr>
        <w:spacing w:after="60"/>
      </w:pPr>
      <w:r>
        <w:rPr>
          <w:rFonts w:ascii="Arial" w:cs="Arial" w:eastAsia="Arial" w:hAnsi="Arial"/>
          <w:b/>
          <w:bCs/>
          <w:sz w:val="18"/>
          <w:szCs w:val="18"/>
        </w:rPr>
        <w:t xml:space="preserve">Signal Word: </w:t>
      </w:r>
      <w:r>
        <w:rPr>
          <w:rFonts w:ascii="Arial" w:cs="Arial" w:eastAsia="Arial" w:hAnsi="Arial"/>
          <w:sz w:val="18"/>
          <w:szCs w:val="18"/>
        </w:rPr>
        <w:t xml:space="preserve">WARNING</w:t>
      </w:r>
    </w:p>
    <w:p>
      <w:pPr>
        <w:spacing w:after="60"/>
      </w:pPr>
      <w:r>
        <w:rPr>
          <w:rFonts w:ascii="Arial" w:cs="Arial" w:eastAsia="Arial" w:hAnsi="Arial"/>
          <w:b/>
          <w:bCs/>
          <w:sz w:val="18"/>
          <w:szCs w:val="18"/>
        </w:rPr>
        <w:t xml:space="preserve">GHS Pictograms: </w:t>
      </w:r>
      <w:r>
        <w:rPr>
          <w:rFonts w:ascii="Arial" w:cs="Arial" w:eastAsia="Arial" w:hAnsi="Arial"/>
          <w:sz w:val="18"/>
          <w:szCs w:val="18"/>
        </w:rPr>
        <w:t xml:space="preserve">Flame (GHS02), Exclamation Mark (GHS07)</w:t>
      </w:r>
    </w:p>
    <w:p>
      <w:pPr>
        <w:spacing w:after="40"/>
      </w:pPr>
      <w:r>
        <w:rPr>
          <w:rFonts w:ascii="Arial" w:cs="Arial" w:eastAsia="Arial" w:hAnsi="Arial"/>
          <w:sz w:val="20"/>
          <w:szCs w:val="20"/>
        </w:rPr>
        <w:t xml:space="preserve"/>
      </w:r>
    </w:p>
    <w:p>
      <w:pPr>
        <w:spacing w:after="40"/>
      </w:pPr>
      <w:r>
        <w:rPr>
          <w:rFonts w:ascii="Arial" w:cs="Arial" w:eastAsia="Arial" w:hAnsi="Arial"/>
          <w:b/>
          <w:bCs/>
          <w:sz w:val="18"/>
          <w:szCs w:val="18"/>
        </w:rPr>
        <w:t xml:space="preserve">Hazard Statements:</w:t>
      </w:r>
    </w:p>
    <w:p>
      <w:pPr>
        <w:pStyle w:val="ListParagraph"/>
        <w:numPr>
          <w:ilvl w:val="0"/>
          <w:numId w:val="2"/>
        </w:numPr>
        <w:spacing w:after="40"/>
      </w:pPr>
      <w:r>
        <w:rPr>
          <w:rFonts w:ascii="Arial" w:cs="Arial" w:eastAsia="Arial" w:hAnsi="Arial"/>
          <w:sz w:val="18"/>
          <w:szCs w:val="18"/>
        </w:rPr>
        <w:t xml:space="preserve">H226 – Flammable liquid and vapour (Flash point 38°C – 60°C range)</w:t>
      </w:r>
    </w:p>
    <w:p>
      <w:pPr>
        <w:pStyle w:val="ListParagraph"/>
        <w:numPr>
          <w:ilvl w:val="0"/>
          <w:numId w:val="2"/>
        </w:numPr>
        <w:spacing w:after="40"/>
      </w:pPr>
      <w:r>
        <w:rPr>
          <w:rFonts w:ascii="Arial" w:cs="Arial" w:eastAsia="Arial" w:hAnsi="Arial"/>
          <w:sz w:val="18"/>
          <w:szCs w:val="18"/>
        </w:rPr>
        <w:t xml:space="preserve">H315 – Causes skin irritation</w:t>
      </w:r>
    </w:p>
    <w:p>
      <w:pPr>
        <w:pStyle w:val="ListParagraph"/>
        <w:numPr>
          <w:ilvl w:val="0"/>
          <w:numId w:val="2"/>
        </w:numPr>
        <w:spacing w:after="40"/>
      </w:pPr>
      <w:r>
        <w:rPr>
          <w:rFonts w:ascii="Arial" w:cs="Arial" w:eastAsia="Arial" w:hAnsi="Arial"/>
          <w:sz w:val="18"/>
          <w:szCs w:val="18"/>
        </w:rPr>
        <w:t xml:space="preserve">H319 – Causes serious eye irritation</w:t>
      </w:r>
    </w:p>
    <w:p>
      <w:pPr>
        <w:pStyle w:val="ListParagraph"/>
        <w:numPr>
          <w:ilvl w:val="0"/>
          <w:numId w:val="2"/>
        </w:numPr>
        <w:spacing w:after="40"/>
      </w:pPr>
      <w:r>
        <w:rPr>
          <w:rFonts w:ascii="Arial" w:cs="Arial" w:eastAsia="Arial" w:hAnsi="Arial"/>
          <w:sz w:val="18"/>
          <w:szCs w:val="18"/>
        </w:rPr>
        <w:t xml:space="preserve">H336 – May cause drowsiness or dizziness (solvent vapours)</w:t>
      </w:r>
    </w:p>
    <w:p>
      <w:pPr>
        <w:spacing w:after="40"/>
      </w:pPr>
      <w:r>
        <w:rPr>
          <w:rFonts w:ascii="Arial" w:cs="Arial" w:eastAsia="Arial" w:hAnsi="Arial"/>
          <w:sz w:val="20"/>
          <w:szCs w:val="20"/>
        </w:rPr>
        <w:t xml:space="preserve"/>
      </w:r>
    </w:p>
    <w:p>
      <w:pPr>
        <w:spacing w:after="40"/>
      </w:pPr>
      <w:r>
        <w:rPr>
          <w:rFonts w:ascii="Arial" w:cs="Arial" w:eastAsia="Arial" w:hAnsi="Arial"/>
          <w:b/>
          <w:bCs/>
          <w:sz w:val="18"/>
          <w:szCs w:val="18"/>
        </w:rPr>
        <w:t xml:space="preserve">Precautionary Statements:</w:t>
      </w:r>
    </w:p>
    <w:p>
      <w:pPr>
        <w:pStyle w:val="ListParagraph"/>
        <w:numPr>
          <w:ilvl w:val="0"/>
          <w:numId w:val="2"/>
        </w:numPr>
        <w:spacing w:after="40"/>
      </w:pPr>
      <w:r>
        <w:rPr>
          <w:rFonts w:ascii="Arial" w:cs="Arial" w:eastAsia="Arial" w:hAnsi="Arial"/>
          <w:sz w:val="18"/>
          <w:szCs w:val="18"/>
        </w:rPr>
        <w:t xml:space="preserve">P210 – Keep away from heat, sparks, open flames, and hot surfaces. No smoking.</w:t>
      </w:r>
    </w:p>
    <w:p>
      <w:pPr>
        <w:pStyle w:val="ListParagraph"/>
        <w:numPr>
          <w:ilvl w:val="0"/>
          <w:numId w:val="2"/>
        </w:numPr>
        <w:spacing w:after="40"/>
      </w:pPr>
      <w:r>
        <w:rPr>
          <w:rFonts w:ascii="Arial" w:cs="Arial" w:eastAsia="Arial" w:hAnsi="Arial"/>
          <w:sz w:val="18"/>
          <w:szCs w:val="18"/>
        </w:rPr>
        <w:t xml:space="preserve">P261 – Avoid breathing vapours.</w:t>
      </w:r>
    </w:p>
    <w:p>
      <w:pPr>
        <w:pStyle w:val="ListParagraph"/>
        <w:numPr>
          <w:ilvl w:val="0"/>
          <w:numId w:val="2"/>
        </w:numPr>
        <w:spacing w:after="40"/>
      </w:pPr>
      <w:r>
        <w:rPr>
          <w:rFonts w:ascii="Arial" w:cs="Arial" w:eastAsia="Arial" w:hAnsi="Arial"/>
          <w:sz w:val="18"/>
          <w:szCs w:val="18"/>
        </w:rPr>
        <w:t xml:space="preserve">P271 – Use only outdoors or in well-ventilated areas.</w:t>
      </w:r>
    </w:p>
    <w:p>
      <w:pPr>
        <w:pStyle w:val="ListParagraph"/>
        <w:numPr>
          <w:ilvl w:val="0"/>
          <w:numId w:val="2"/>
        </w:numPr>
        <w:spacing w:after="40"/>
      </w:pPr>
      <w:r>
        <w:rPr>
          <w:rFonts w:ascii="Arial" w:cs="Arial" w:eastAsia="Arial" w:hAnsi="Arial"/>
          <w:sz w:val="18"/>
          <w:szCs w:val="18"/>
        </w:rPr>
        <w:t xml:space="preserve">P280 – Wear protective gloves, eye protection, and face protection.</w:t>
      </w:r>
    </w:p>
    <w:p>
      <w:pPr>
        <w:pStyle w:val="ListParagraph"/>
        <w:numPr>
          <w:ilvl w:val="0"/>
          <w:numId w:val="2"/>
        </w:numPr>
        <w:spacing w:after="40"/>
      </w:pPr>
      <w:r>
        <w:rPr>
          <w:rFonts w:ascii="Arial" w:cs="Arial" w:eastAsia="Arial" w:hAnsi="Arial"/>
          <w:sz w:val="18"/>
          <w:szCs w:val="18"/>
        </w:rPr>
        <w:t xml:space="preserve">P303+P361+P353 – If on skin or hair: remove/take off all contaminated clothing, rinse skin with water.</w:t>
      </w:r>
    </w:p>
    <w:p>
      <w:pPr>
        <w:pStyle w:val="ListParagraph"/>
        <w:numPr>
          <w:ilvl w:val="0"/>
          <w:numId w:val="2"/>
        </w:numPr>
        <w:spacing w:after="40"/>
      </w:pPr>
      <w:r>
        <w:rPr>
          <w:rFonts w:ascii="Arial" w:cs="Arial" w:eastAsia="Arial" w:hAnsi="Arial"/>
          <w:sz w:val="18"/>
          <w:szCs w:val="18"/>
        </w:rPr>
        <w:t xml:space="preserve">P501 – Dispose of contents and container in accordance with local regulations.</w:t>
      </w:r>
    </w:p>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3   –   COMPOSITION / INFORMATION ON INGREDIENTS</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536"/>
        <w:gridCol w:w="2520"/>
        <w:gridCol w:w="3024"/>
      </w:tblGrid>
      <w:tr>
        <w:tc>
          <w:tcPr>
            <w:tcW w:type="dxa" w:w="4536"/>
            <w:tcBorders>
              <w:top w:val="single" w:color="1B4F72" w:sz="4"/>
              <w:left w:val="single" w:color="1B4F72" w:sz="4"/>
              <w:bottom w:val="single" w:color="1B4F72" w:sz="4"/>
              <w:right w:val="single" w:color="1B4F72" w:sz="4"/>
            </w:tcBorders>
            <w:shd w:fill="1B4F72" w:val="clear"/>
            <w:tcMar>
              <w:top w:type="dxa" w:w="80"/>
              <w:left w:type="dxa" w:w="140"/>
              <w:bottom w:type="dxa" w:w="80"/>
              <w:right w:type="dxa" w:w="140"/>
            </w:tcMar>
          </w:tcPr>
          <w:p>
            <w:pPr>
              <w:spacing w:after="0"/>
            </w:pPr>
            <w:r>
              <w:rPr>
                <w:rFonts w:ascii="Arial" w:cs="Arial" w:eastAsia="Arial" w:hAnsi="Arial"/>
                <w:b/>
                <w:bCs/>
                <w:color w:val="FFFFFF"/>
                <w:sz w:val="18"/>
                <w:szCs w:val="18"/>
              </w:rPr>
              <w:t xml:space="preserve">Component</w:t>
            </w:r>
          </w:p>
        </w:tc>
        <w:tc>
          <w:tcPr>
            <w:tcW w:type="dxa" w:w="2520"/>
            <w:tcBorders>
              <w:top w:val="single" w:color="1B4F72" w:sz="4"/>
              <w:left w:val="single" w:color="1B4F72" w:sz="4"/>
              <w:bottom w:val="single" w:color="1B4F72" w:sz="4"/>
              <w:right w:val="single" w:color="1B4F72" w:sz="4"/>
            </w:tcBorders>
            <w:shd w:fill="1B4F72" w:val="clear"/>
            <w:tcMar>
              <w:top w:type="dxa" w:w="80"/>
              <w:left w:type="dxa" w:w="140"/>
              <w:bottom w:type="dxa" w:w="80"/>
              <w:right w:type="dxa" w:w="140"/>
            </w:tcMar>
          </w:tcPr>
          <w:p>
            <w:pPr>
              <w:spacing w:after="0"/>
            </w:pPr>
            <w:r>
              <w:rPr>
                <w:rFonts w:ascii="Arial" w:cs="Arial" w:eastAsia="Arial" w:hAnsi="Arial"/>
                <w:b/>
                <w:bCs/>
                <w:color w:val="FFFFFF"/>
                <w:sz w:val="18"/>
                <w:szCs w:val="18"/>
              </w:rPr>
              <w:t xml:space="preserve">CAS Number</w:t>
            </w:r>
          </w:p>
        </w:tc>
        <w:tc>
          <w:tcPr>
            <w:tcW w:type="dxa" w:w="3024"/>
            <w:tcBorders>
              <w:top w:val="single" w:color="1B4F72" w:sz="4"/>
              <w:left w:val="single" w:color="1B4F72" w:sz="4"/>
              <w:bottom w:val="single" w:color="1B4F72" w:sz="4"/>
              <w:right w:val="single" w:color="1B4F72" w:sz="4"/>
            </w:tcBorders>
            <w:shd w:fill="1B4F72" w:val="clear"/>
            <w:tcMar>
              <w:top w:type="dxa" w:w="80"/>
              <w:left w:type="dxa" w:w="140"/>
              <w:bottom w:type="dxa" w:w="80"/>
              <w:right w:type="dxa" w:w="140"/>
            </w:tcMar>
          </w:tcPr>
          <w:p>
            <w:pPr>
              <w:spacing w:after="0"/>
            </w:pPr>
            <w:r>
              <w:rPr>
                <w:rFonts w:ascii="Arial" w:cs="Arial" w:eastAsia="Arial" w:hAnsi="Arial"/>
                <w:b/>
                <w:bCs/>
                <w:color w:val="FFFFFF"/>
                <w:sz w:val="18"/>
                <w:szCs w:val="18"/>
              </w:rPr>
              <w:t xml:space="preserve">% by Weight</w:t>
            </w:r>
          </w:p>
        </w:tc>
      </w:tr>
      <w:tr>
        <w:tc>
          <w:tcPr>
            <w:tcW w:type="dxa" w:w="453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Oxidized (Blown) Asphalt</w:t>
            </w:r>
          </w:p>
        </w:tc>
        <w:tc>
          <w:tcPr>
            <w:tcW w:type="dxa" w:w="2520"/>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8052-42-4</w:t>
            </w:r>
          </w:p>
        </w:tc>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45 – 65%</w:t>
            </w:r>
          </w:p>
        </w:tc>
      </w:tr>
      <w:tr>
        <w:tc>
          <w:tcPr>
            <w:tcW w:type="dxa" w:w="453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Aliphatic Petroleum Solvent (Naphtha)</w:t>
            </w:r>
          </w:p>
        </w:tc>
        <w:tc>
          <w:tcPr>
            <w:tcW w:type="dxa" w:w="2520"/>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64742-89-8</w:t>
            </w:r>
          </w:p>
        </w:tc>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25 – 40%</w:t>
            </w:r>
          </w:p>
        </w:tc>
      </w:tr>
      <w:tr>
        <w:tc>
          <w:tcPr>
            <w:tcW w:type="dxa" w:w="453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Aromatic Solvent / Modifier</w:t>
            </w:r>
          </w:p>
        </w:tc>
        <w:tc>
          <w:tcPr>
            <w:tcW w:type="dxa" w:w="2520"/>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Mixture</w:t>
            </w:r>
          </w:p>
        </w:tc>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5 – 15%</w:t>
            </w:r>
          </w:p>
        </w:tc>
      </w:tr>
      <w:tr>
        <w:tc>
          <w:tcPr>
            <w:tcW w:type="dxa" w:w="453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Polymer Additive (SBS/APP)</w:t>
            </w:r>
          </w:p>
        </w:tc>
        <w:tc>
          <w:tcPr>
            <w:tcW w:type="dxa" w:w="2520"/>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Mixture</w:t>
            </w:r>
          </w:p>
        </w:tc>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2 – 8%</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4   –   FIRST AID MEASURES</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Eye Contact</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Flush immediately with clean water for at least 15 minutes, lifting eyelids. Seek medical attention if irritation persists.</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Skin Contact</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Remove contaminated clothing. Wash with soap and water. If irritation persists, seek medical advice.</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Inhalation</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Move to fresh air immediately. If breathing is difficult, administer oxygen. Seek medical attention if symptoms persist.</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Ingestion</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Do not induce vomiting. Rinse mouth with water. Seek immediate medical attention.</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Notes to Physician</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Treat symptomatically. Aspiration hazard if vomiting occurs. Monitor for CNS depression from solvent exposure.</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5   –   FIRE FIGHTING MEASURES</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Flash Point</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38°C – 60°C (100°F – 140°F) – Flammable liquid (ASTM D93 / ASTM D56)</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Suitable Extinguishing Media</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CO₂, dry chemical powder, foam. Water fog acceptable for cooling only.</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Unsuitable Media</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Direct water stream (causes spattering of burning asphalt)</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Hazardous Combustion Products</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CO, CO₂, acrid hydrocarbon smoke, sulphur dioxide</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Protective Equipment</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Self-contained breathing apparatus (SCBA) and full protective gear. Keep upwind.</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Special Hazards</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Vapours are heavier than air and may travel to ignition sources. Solvent content makes this product flammable. Store away from all ignition sources.</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6   –   ACCIDENTAL RELEASE MEASURES</w:t>
            </w:r>
          </w:p>
        </w:tc>
      </w:tr>
    </w:tbl>
    <w:p>
      <w:pPr>
        <w:spacing w:after="60"/>
      </w:pPr>
      <w:r>
        <w:rPr>
          <w:rFonts w:ascii="Arial" w:cs="Arial" w:eastAsia="Arial" w:hAnsi="Arial"/>
          <w:sz w:val="20"/>
          <w:szCs w:val="20"/>
        </w:rPr>
        <w:t xml:space="preserve"/>
      </w:r>
    </w:p>
    <w:p>
      <w:pPr>
        <w:spacing w:after="60"/>
      </w:pPr>
      <w:r>
        <w:rPr>
          <w:rFonts w:ascii="Arial" w:cs="Arial" w:eastAsia="Arial" w:hAnsi="Arial"/>
          <w:b/>
          <w:bCs/>
          <w:sz w:val="18"/>
          <w:szCs w:val="18"/>
        </w:rPr>
        <w:t xml:space="preserve">Personal Precautions: </w:t>
      </w:r>
      <w:r>
        <w:rPr>
          <w:rFonts w:ascii="Arial" w:cs="Arial" w:eastAsia="Arial" w:hAnsi="Arial"/>
          <w:sz w:val="18"/>
          <w:szCs w:val="18"/>
        </w:rPr>
        <w:t xml:space="preserve">Eliminate ignition sources. Wear gloves, eye protection, and respiratory protection. Ensure adequate ventilation.</w:t>
      </w:r>
    </w:p>
    <w:p>
      <w:pPr>
        <w:spacing w:after="60"/>
      </w:pPr>
      <w:r>
        <w:rPr>
          <w:rFonts w:ascii="Arial" w:cs="Arial" w:eastAsia="Arial" w:hAnsi="Arial"/>
          <w:b/>
          <w:bCs/>
          <w:sz w:val="18"/>
          <w:szCs w:val="18"/>
        </w:rPr>
        <w:t xml:space="preserve">Environmental Precautions: </w:t>
      </w:r>
      <w:r>
        <w:rPr>
          <w:rFonts w:ascii="Arial" w:cs="Arial" w:eastAsia="Arial" w:hAnsi="Arial"/>
          <w:sz w:val="18"/>
          <w:szCs w:val="18"/>
        </w:rPr>
        <w:t xml:space="preserve">Prevent entry into drains, waterways, and soil. Notify authorities if large spill reaches a watercourse.</w:t>
      </w:r>
    </w:p>
    <w:p>
      <w:pPr>
        <w:spacing w:after="60"/>
      </w:pPr>
      <w:r>
        <w:rPr>
          <w:rFonts w:ascii="Arial" w:cs="Arial" w:eastAsia="Arial" w:hAnsi="Arial"/>
          <w:b/>
          <w:bCs/>
          <w:sz w:val="18"/>
          <w:szCs w:val="18"/>
        </w:rPr>
        <w:t xml:space="preserve">Containment &amp; Clean-Up: </w:t>
      </w:r>
      <w:r>
        <w:rPr>
          <w:rFonts w:ascii="Arial" w:cs="Arial" w:eastAsia="Arial" w:hAnsi="Arial"/>
          <w:sz w:val="18"/>
          <w:szCs w:val="18"/>
        </w:rPr>
        <w:t xml:space="preserve">Absorb with inert material (sand, earth, vermiculite). Collect in labelled, closable containers. Dispose per Section 13. Do not flush to sewer.</w:t>
      </w:r>
    </w:p>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7   –   HANDLING AND STORAGE</w:t>
            </w:r>
          </w:p>
        </w:tc>
      </w:tr>
    </w:tbl>
    <w:p>
      <w:pPr>
        <w:spacing w:after="60"/>
      </w:pPr>
      <w:r>
        <w:rPr>
          <w:rFonts w:ascii="Arial" w:cs="Arial" w:eastAsia="Arial" w:hAnsi="Arial"/>
          <w:sz w:val="20"/>
          <w:szCs w:val="20"/>
        </w:rPr>
        <w:t xml:space="preserve"/>
      </w:r>
    </w:p>
    <w:p>
      <w:pPr>
        <w:spacing w:after="40"/>
      </w:pPr>
      <w:r>
        <w:rPr>
          <w:rFonts w:ascii="Arial" w:cs="Arial" w:eastAsia="Arial" w:hAnsi="Arial"/>
          <w:b/>
          <w:bCs/>
          <w:sz w:val="18"/>
          <w:szCs w:val="18"/>
        </w:rPr>
        <w:t xml:space="preserve">Handling:</w:t>
      </w:r>
    </w:p>
    <w:p>
      <w:pPr>
        <w:pStyle w:val="ListParagraph"/>
        <w:numPr>
          <w:ilvl w:val="0"/>
          <w:numId w:val="2"/>
        </w:numPr>
        <w:spacing w:after="40"/>
      </w:pPr>
      <w:r>
        <w:rPr>
          <w:rFonts w:ascii="Arial" w:cs="Arial" w:eastAsia="Arial" w:hAnsi="Arial"/>
          <w:sz w:val="18"/>
          <w:szCs w:val="18"/>
        </w:rPr>
        <w:t xml:space="preserve">Use only in well-ventilated areas or outdoors; avoid confined spaces</w:t>
      </w:r>
    </w:p>
    <w:p>
      <w:pPr>
        <w:pStyle w:val="ListParagraph"/>
        <w:numPr>
          <w:ilvl w:val="0"/>
          <w:numId w:val="2"/>
        </w:numPr>
        <w:spacing w:after="40"/>
      </w:pPr>
      <w:r>
        <w:rPr>
          <w:rFonts w:ascii="Arial" w:cs="Arial" w:eastAsia="Arial" w:hAnsi="Arial"/>
          <w:sz w:val="18"/>
          <w:szCs w:val="18"/>
        </w:rPr>
        <w:t xml:space="preserve">Keep away from open flames, sparks, and hot surfaces – NO SMOKING</w:t>
      </w:r>
    </w:p>
    <w:p>
      <w:pPr>
        <w:pStyle w:val="ListParagraph"/>
        <w:numPr>
          <w:ilvl w:val="0"/>
          <w:numId w:val="2"/>
        </w:numPr>
        <w:spacing w:after="40"/>
      </w:pPr>
      <w:r>
        <w:rPr>
          <w:rFonts w:ascii="Arial" w:cs="Arial" w:eastAsia="Arial" w:hAnsi="Arial"/>
          <w:sz w:val="18"/>
          <w:szCs w:val="18"/>
        </w:rPr>
        <w:t xml:space="preserve">Wear chemical-resistant gloves, safety glasses, and appropriate respiratory protection</w:t>
      </w:r>
    </w:p>
    <w:p>
      <w:pPr>
        <w:pStyle w:val="ListParagraph"/>
        <w:numPr>
          <w:ilvl w:val="0"/>
          <w:numId w:val="2"/>
        </w:numPr>
        <w:spacing w:after="40"/>
      </w:pPr>
      <w:r>
        <w:rPr>
          <w:rFonts w:ascii="Arial" w:cs="Arial" w:eastAsia="Arial" w:hAnsi="Arial"/>
          <w:sz w:val="18"/>
          <w:szCs w:val="18"/>
        </w:rPr>
        <w:t xml:space="preserve">Avoid prolonged skin contact and inhalation of vapours</w:t>
      </w:r>
    </w:p>
    <w:p>
      <w:pPr>
        <w:pStyle w:val="ListParagraph"/>
        <w:numPr>
          <w:ilvl w:val="0"/>
          <w:numId w:val="2"/>
        </w:numPr>
        <w:spacing w:after="40"/>
      </w:pPr>
      <w:r>
        <w:rPr>
          <w:rFonts w:ascii="Arial" w:cs="Arial" w:eastAsia="Arial" w:hAnsi="Arial"/>
          <w:sz w:val="18"/>
          <w:szCs w:val="18"/>
        </w:rPr>
        <w:t xml:space="preserve">Allow adequate drying/flash-off time before applying membrane (typically 15–60 min depending on conditions)</w:t>
      </w:r>
    </w:p>
    <w:p>
      <w:pPr>
        <w:spacing w:after="40"/>
      </w:pPr>
      <w:r>
        <w:rPr>
          <w:rFonts w:ascii="Arial" w:cs="Arial" w:eastAsia="Arial" w:hAnsi="Arial"/>
          <w:sz w:val="20"/>
          <w:szCs w:val="20"/>
        </w:rPr>
        <w:t xml:space="preserve"/>
      </w:r>
    </w:p>
    <w:p>
      <w:pPr>
        <w:spacing w:after="40"/>
      </w:pPr>
      <w:r>
        <w:rPr>
          <w:rFonts w:ascii="Arial" w:cs="Arial" w:eastAsia="Arial" w:hAnsi="Arial"/>
          <w:b/>
          <w:bCs/>
          <w:sz w:val="18"/>
          <w:szCs w:val="18"/>
        </w:rPr>
        <w:t xml:space="preserve">Storage:</w:t>
      </w:r>
    </w:p>
    <w:p>
      <w:pPr>
        <w:pStyle w:val="ListParagraph"/>
        <w:numPr>
          <w:ilvl w:val="0"/>
          <w:numId w:val="2"/>
        </w:numPr>
        <w:spacing w:after="40"/>
      </w:pPr>
      <w:r>
        <w:rPr>
          <w:rFonts w:ascii="Arial" w:cs="Arial" w:eastAsia="Arial" w:hAnsi="Arial"/>
          <w:sz w:val="18"/>
          <w:szCs w:val="18"/>
        </w:rPr>
        <w:t xml:space="preserve">Store in original sealed containers in a cool, dry, well-ventilated area</w:t>
      </w:r>
    </w:p>
    <w:p>
      <w:pPr>
        <w:pStyle w:val="ListParagraph"/>
        <w:numPr>
          <w:ilvl w:val="0"/>
          <w:numId w:val="2"/>
        </w:numPr>
        <w:spacing w:after="40"/>
      </w:pPr>
      <w:r>
        <w:rPr>
          <w:rFonts w:ascii="Arial" w:cs="Arial" w:eastAsia="Arial" w:hAnsi="Arial"/>
          <w:sz w:val="18"/>
          <w:szCs w:val="18"/>
        </w:rPr>
        <w:t xml:space="preserve">Recommended storage temperature: 5°C – 35°C (40°F – 95°F)</w:t>
      </w:r>
    </w:p>
    <w:p>
      <w:pPr>
        <w:pStyle w:val="ListParagraph"/>
        <w:numPr>
          <w:ilvl w:val="0"/>
          <w:numId w:val="2"/>
        </w:numPr>
        <w:spacing w:after="40"/>
      </w:pPr>
      <w:r>
        <w:rPr>
          <w:rFonts w:ascii="Arial" w:cs="Arial" w:eastAsia="Arial" w:hAnsi="Arial"/>
          <w:sz w:val="18"/>
          <w:szCs w:val="18"/>
        </w:rPr>
        <w:t xml:space="preserve">Shelf life: 12 months from date of manufacture in unopened containers</w:t>
      </w:r>
    </w:p>
    <w:p>
      <w:pPr>
        <w:pStyle w:val="ListParagraph"/>
        <w:numPr>
          <w:ilvl w:val="0"/>
          <w:numId w:val="2"/>
        </w:numPr>
        <w:spacing w:after="40"/>
      </w:pPr>
      <w:r>
        <w:rPr>
          <w:rFonts w:ascii="Arial" w:cs="Arial" w:eastAsia="Arial" w:hAnsi="Arial"/>
          <w:sz w:val="18"/>
          <w:szCs w:val="18"/>
        </w:rPr>
        <w:t xml:space="preserve">Keep away from oxidising agents, heat, and ignition sources</w:t>
      </w:r>
    </w:p>
    <w:p>
      <w:pPr>
        <w:pStyle w:val="ListParagraph"/>
        <w:numPr>
          <w:ilvl w:val="0"/>
          <w:numId w:val="2"/>
        </w:numPr>
        <w:spacing w:after="40"/>
      </w:pPr>
      <w:r>
        <w:rPr>
          <w:rFonts w:ascii="Arial" w:cs="Arial" w:eastAsia="Arial" w:hAnsi="Arial"/>
          <w:sz w:val="18"/>
          <w:szCs w:val="18"/>
        </w:rPr>
        <w:t xml:space="preserve">Keep containers tightly closed when not in use</w:t>
      </w:r>
    </w:p>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8   –   EXPOSURE CONTROLS / PERSONAL PROTECTIVE EQUIPMENT</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Engineering Controls</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Use local exhaust ventilation in enclosed or confined spaces. General dilution ventilation required indoors.</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Respiratory Protection</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NIOSH-approved half-face respirator with organic vapour cartridges (OV/P100) when used indoors or in low-ventilation conditions.</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Eye / Face Protection</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Safety glasses or chemical splash goggles.</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Skin / Hand Protection</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Chemical-resistant gloves (nitrile, neoprene, or equivalent). Replace immediately if contaminated.</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OSHA PEL (Naphtha)</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100 ppm TWA (8-hour)</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ACGIH TLV (Naphtha)</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300 ppm TWA (8-hour)</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Asphalt Fume (NIOSH REL)</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0.1 mg/m³ ceiling (15-min)</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9   –   PHYSICAL AND CHEMICAL PROPERTIES</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Appearance: </w:t>
            </w:r>
            <w:r>
              <w:rPr>
                <w:rFonts w:ascii="Arial" w:cs="Arial" w:eastAsia="Arial" w:hAnsi="Arial"/>
                <w:sz w:val="18"/>
                <w:szCs w:val="18"/>
              </w:rPr>
              <w:t xml:space="preserve">Black liquid / semi-liquid</w:t>
            </w:r>
          </w:p>
        </w:tc>
        <w:tc>
          <w:tcPr>
            <w:tcW w:type="dxa" w:w="5040"/>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Physical State: </w:t>
            </w:r>
            <w:r>
              <w:rPr>
                <w:rFonts w:ascii="Arial" w:cs="Arial" w:eastAsia="Arial" w:hAnsi="Arial"/>
                <w:sz w:val="18"/>
                <w:szCs w:val="18"/>
              </w:rPr>
              <w:t xml:space="preserve">Liquid</w:t>
            </w:r>
          </w:p>
        </w:tc>
      </w:tr>
      <w:tr>
        <w:tc>
          <w:tcPr>
            <w:tcW w:type="dxa" w:w="5040"/>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Odor: </w:t>
            </w:r>
            <w:r>
              <w:rPr>
                <w:rFonts w:ascii="Arial" w:cs="Arial" w:eastAsia="Arial" w:hAnsi="Arial"/>
                <w:sz w:val="18"/>
                <w:szCs w:val="18"/>
              </w:rPr>
              <w:t xml:space="preserve">Strong solvent / asphalt</w:t>
            </w:r>
          </w:p>
        </w:tc>
        <w:tc>
          <w:tcPr>
            <w:tcW w:type="dxa" w:w="5040"/>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Color: </w:t>
            </w:r>
            <w:r>
              <w:rPr>
                <w:rFonts w:ascii="Arial" w:cs="Arial" w:eastAsia="Arial" w:hAnsi="Arial"/>
                <w:sz w:val="18"/>
                <w:szCs w:val="18"/>
              </w:rPr>
              <w:t xml:space="preserve">Black to dark brown</w:t>
            </w:r>
          </w:p>
        </w:tc>
      </w:tr>
      <w:tr>
        <w:tc>
          <w:tcPr>
            <w:tcW w:type="dxa" w:w="5040"/>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Flash Point: </w:t>
            </w:r>
            <w:r>
              <w:rPr>
                <w:rFonts w:ascii="Arial" w:cs="Arial" w:eastAsia="Arial" w:hAnsi="Arial"/>
                <w:sz w:val="18"/>
                <w:szCs w:val="18"/>
              </w:rPr>
              <w:t xml:space="preserve">38°C – 60°C</w:t>
            </w:r>
          </w:p>
        </w:tc>
        <w:tc>
          <w:tcPr>
            <w:tcW w:type="dxa" w:w="5040"/>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Boiling Range: </w:t>
            </w:r>
            <w:r>
              <w:rPr>
                <w:rFonts w:ascii="Arial" w:cs="Arial" w:eastAsia="Arial" w:hAnsi="Arial"/>
                <w:sz w:val="18"/>
                <w:szCs w:val="18"/>
              </w:rPr>
              <w:t xml:space="preserve">150°C – 200°C (solvent fraction)</w:t>
            </w:r>
          </w:p>
        </w:tc>
      </w:tr>
      <w:tr>
        <w:tc>
          <w:tcPr>
            <w:tcW w:type="dxa" w:w="5040"/>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Solids Content: </w:t>
            </w:r>
            <w:r>
              <w:rPr>
                <w:rFonts w:ascii="Arial" w:cs="Arial" w:eastAsia="Arial" w:hAnsi="Arial"/>
                <w:sz w:val="18"/>
                <w:szCs w:val="18"/>
              </w:rPr>
              <w:t xml:space="preserve">Approx. 55–75% by weight</w:t>
            </w:r>
          </w:p>
        </w:tc>
        <w:tc>
          <w:tcPr>
            <w:tcW w:type="dxa" w:w="5040"/>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Viscosity: </w:t>
            </w:r>
            <w:r>
              <w:rPr>
                <w:rFonts w:ascii="Arial" w:cs="Arial" w:eastAsia="Arial" w:hAnsi="Arial"/>
                <w:sz w:val="18"/>
                <w:szCs w:val="18"/>
              </w:rPr>
              <w:t xml:space="preserve">500–2000 cP at 25°C</w:t>
            </w:r>
          </w:p>
        </w:tc>
      </w:tr>
      <w:tr>
        <w:tc>
          <w:tcPr>
            <w:tcW w:type="dxa" w:w="5040"/>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Specific Gravity: </w:t>
            </w:r>
            <w:r>
              <w:rPr>
                <w:rFonts w:ascii="Arial" w:cs="Arial" w:eastAsia="Arial" w:hAnsi="Arial"/>
                <w:sz w:val="18"/>
                <w:szCs w:val="18"/>
              </w:rPr>
              <w:t xml:space="preserve">Approx. 0.85–0.95 g/cm³</w:t>
            </w:r>
          </w:p>
        </w:tc>
        <w:tc>
          <w:tcPr>
            <w:tcW w:type="dxa" w:w="5040"/>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Vapour Pressure: </w:t>
            </w:r>
            <w:r>
              <w:rPr>
                <w:rFonts w:ascii="Arial" w:cs="Arial" w:eastAsia="Arial" w:hAnsi="Arial"/>
                <w:sz w:val="18"/>
                <w:szCs w:val="18"/>
              </w:rPr>
              <w:t xml:space="preserve">≤1.5 kPa at 20°C</w:t>
            </w:r>
          </w:p>
        </w:tc>
      </w:tr>
      <w:tr>
        <w:tc>
          <w:tcPr>
            <w:tcW w:type="dxa" w:w="5040"/>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Solubility in Water: </w:t>
            </w:r>
            <w:r>
              <w:rPr>
                <w:rFonts w:ascii="Arial" w:cs="Arial" w:eastAsia="Arial" w:hAnsi="Arial"/>
                <w:sz w:val="18"/>
                <w:szCs w:val="18"/>
              </w:rPr>
              <w:t xml:space="preserve">Negligible / immiscible</w:t>
            </w:r>
          </w:p>
        </w:tc>
        <w:tc>
          <w:tcPr>
            <w:tcW w:type="dxa" w:w="5040"/>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Flammability Class: </w:t>
            </w:r>
            <w:r>
              <w:rPr>
                <w:rFonts w:ascii="Arial" w:cs="Arial" w:eastAsia="Arial" w:hAnsi="Arial"/>
                <w:sz w:val="18"/>
                <w:szCs w:val="18"/>
              </w:rPr>
              <w:t xml:space="preserve">Flammable Liquid (Class II – NFPA 30)</w:t>
            </w:r>
          </w:p>
        </w:tc>
      </w:tr>
      <w:tr>
        <w:tc>
          <w:tcPr>
            <w:tcW w:type="dxa" w:w="5040"/>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VOC Content: </w:t>
            </w:r>
            <w:r>
              <w:rPr>
                <w:rFonts w:ascii="Arial" w:cs="Arial" w:eastAsia="Arial" w:hAnsi="Arial"/>
                <w:sz w:val="18"/>
                <w:szCs w:val="18"/>
              </w:rPr>
              <w:t xml:space="preserve">Refer to product technical data sheet</w:t>
            </w:r>
          </w:p>
        </w:tc>
        <w:tc>
          <w:tcPr>
            <w:tcW w:type="dxa" w:w="5040"/>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pH: </w:t>
            </w:r>
            <w:r>
              <w:rPr>
                <w:rFonts w:ascii="Arial" w:cs="Arial" w:eastAsia="Arial" w:hAnsi="Arial"/>
                <w:sz w:val="18"/>
                <w:szCs w:val="18"/>
              </w:rPr>
              <w:t xml:space="preserve">Not applicable</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10   –   STABILITY AND REACTIVITY</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Reactivity</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Not reactive under normal conditions of use and storage</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Chemical Stability</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Stable in sealed containers at recommended storage temperatures</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Conditions to Avoid</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Elevated temperatures, open flames, sparks, direct sunlight on containers</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Incompatible Materials</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Strong oxidising agents; avoid contact with strong acids, bases, and chlorinated solvents</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Hazardous Decomposition</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CO, CO₂, hydrocarbons, sulphur compounds – only under combustion or extreme heating</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Hazardous Polymerisation</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Will not occur</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11   –   TOXICOLOGICAL INFORMATION</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Acute Toxicity (Oral)</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Low acute oral toxicity expected based on components</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Acute Toxicity (Dermal)</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Low; prolonged contact may cause skin defatting and irritation</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Acute Toxicity (Inhalation)</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Vapours and mists may cause dizziness, headache, and CNS depression at elevated concentrations</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Skin Irritation</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Classified as irritant (H315); repeated exposure may cause dermatitis</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Eye Irritation</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Classified as irritant (H319); may cause temporary redness and discomfort</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Sensitization</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Not expected to be a skin or respiratory sensitizer</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Carcinogenicity</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Oxidised asphalt (IARC Group 3 – not classifiable). Petroleum naphthas not listed as carcinogens (NTP/OSHA). Use adequate ventilation to minimise vapour exposure.</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Reproductive Toxicity</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No data indicating reproductive toxicity under normal use</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STOT (Single Exposure)</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H336 – may cause drowsiness or dizziness from solvent vapours</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STOT (Repeated Exposure)</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Prolonged high-level solvent exposure may affect the CNS; use PPE and ventilation</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12   –   ECOLOGICAL INFORMATION</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Aquatic Toxicity</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Petroleum-based solvents are toxic to aquatic organisms; prevent product from entering waterways</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Persistence</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Asphalt components are persistent; petroleum solvents are biodegradable to varying degrees</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Bioaccumulation</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Not expected to bioaccumulate significantly in the environment</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Soil Mobility</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Low mobility in soil; asphalt components adsorb strongly to soil particles</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Other Adverse Effects</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Prevent spills and run-off from reaching waterways, storm drains, or soil</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13   –   DISPOSAL CONSIDERATIONS</w:t>
            </w:r>
          </w:p>
        </w:tc>
      </w:tr>
    </w:tbl>
    <w:p>
      <w:pPr>
        <w:spacing w:after="60"/>
      </w:pPr>
      <w:r>
        <w:rPr>
          <w:rFonts w:ascii="Arial" w:cs="Arial" w:eastAsia="Arial" w:hAnsi="Arial"/>
          <w:sz w:val="20"/>
          <w:szCs w:val="20"/>
        </w:rPr>
        <w:t xml:space="preserve"/>
      </w:r>
    </w:p>
    <w:p>
      <w:pPr>
        <w:spacing w:after="0"/>
      </w:pPr>
      <w:r>
        <w:rPr>
          <w:rFonts w:ascii="Arial" w:cs="Arial" w:eastAsia="Arial" w:hAnsi="Arial"/>
          <w:sz w:val="18"/>
          <w:szCs w:val="18"/>
        </w:rPr>
        <w:t xml:space="preserve">Dispose of waste material, residue, and empty containers in accordance with all applicable local, state, and federal regulations (40 CFR Parts 261–268). Do not pour down drains or into watercourses. Liquid waste may be classified as flammable / hazardous waste – contact your local waste management authority for guidance. Empty containers may retain residue and should be handled as hazardous waste until properly cleaned.</w:t>
      </w:r>
    </w:p>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14   –   TRANSPORT INFORMATION</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DOT (USA)</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Combustible Liquid, NA1993, Flammable Liquids, N.O.S. (Asphalt, Petroleum Naphtha), PG III</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IATA</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Flammable Liquid, UN1993, Flammable liquids, N.O.S., 3, PG III</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IMDG</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Flammable Liquid, UN1993, Flammable liquids, N.O.S., Class 3, PG III, Marine Pollutant: No</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UN Number</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UN1993 (if flash point &lt; 60°C) or NA1993 (DOT Combustible, &gt;60°C) – confirm by product batch flash point</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Packing Group</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III</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Special Precautions</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Keep containers upright and secured. Store separately from oxidisers and foodstuffs during transport.</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15   –   REGULATORY INFORMATION</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OSHA HCS (29 CFR 1910.1200)</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This product IS classified as hazardous. SDS required.</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TSCA (15 U.S.C. §2601)</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All components are listed on the TSCA Chemical Substance Inventory or are exempt</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CERCLA / SARA Title III</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Petroleum naphtha components may be subject to SARA Section 313 reporting requirements</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California Prop 65</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Contains petroleum-derived compounds. May contain trace amounts of benzene, a Prop 65 listed chemical. Ensure adequate ventilation.</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HTS Code</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2715.00.0000 – Bituminous mixtures based on natural asphalt, bitumen, or mineral tar</w:t>
            </w:r>
          </w:p>
        </w:tc>
      </w:tr>
    </w:tbl>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0D2137" w:val="clear"/>
            <w:tcMar>
              <w:top w:type="dxa" w:w="100"/>
              <w:left w:type="dxa" w:w="160"/>
              <w:bottom w:type="dxa" w:w="100"/>
              <w:right w:type="dxa" w:w="160"/>
            </w:tcMar>
          </w:tcPr>
          <w:p>
            <w:pPr>
              <w:spacing w:after="0"/>
            </w:pPr>
            <w:r>
              <w:rPr>
                <w:rFonts w:ascii="Arial" w:cs="Arial" w:eastAsia="Arial" w:hAnsi="Arial"/>
                <w:b/>
                <w:bCs/>
                <w:color w:val="FFFFFF"/>
                <w:sz w:val="20"/>
                <w:szCs w:val="20"/>
              </w:rPr>
              <w:t xml:space="preserve">SECTION 16   –   OTHER INFORMATION</w:t>
            </w:r>
          </w:p>
        </w:tc>
      </w:tr>
    </w:tbl>
    <w:p>
      <w:pPr>
        <w:spacing w:after="6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Revision Date</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May 2026</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Previous Revision</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January 2026</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Version</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2.0</w:t>
            </w:r>
          </w:p>
        </w:tc>
      </w:tr>
      <w:tr>
        <w:tc>
          <w:tcPr>
            <w:tcW w:type="dxa" w:w="3024"/>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Prepared By</w:t>
            </w:r>
          </w:p>
        </w:tc>
        <w:tc>
          <w:tcPr>
            <w:tcW w:type="dxa" w:w="7056"/>
            <w:tcBorders>
              <w:top w:val="single" w:color="AAAAAA" w:sz="2"/>
              <w:left w:val="single" w:color="AAAAAA" w:sz="2"/>
              <w:bottom w:val="single" w:color="AAAAAA" w:sz="2"/>
              <w:right w:val="single" w:color="AAAAAA" w:sz="2"/>
            </w:tcBorders>
            <w:shd w:fill="FFFFFF" w:val="clear"/>
            <w:tcMar>
              <w:top w:type="dxa" w:w="80"/>
              <w:left w:type="dxa" w:w="140"/>
              <w:bottom w:type="dxa" w:w="80"/>
              <w:right w:type="dxa" w:w="140"/>
            </w:tcMar>
          </w:tcPr>
          <w:p>
            <w:pPr>
              <w:spacing w:after="0"/>
            </w:pPr>
            <w:r>
              <w:rPr>
                <w:rFonts w:ascii="Arial" w:cs="Arial" w:eastAsia="Arial" w:hAnsi="Arial"/>
                <w:sz w:val="18"/>
                <w:szCs w:val="18"/>
              </w:rPr>
              <w:t xml:space="preserve">BSKR Brands LLC – Regulatory &amp; Compliance Department</w:t>
            </w:r>
          </w:p>
        </w:tc>
      </w:tr>
      <w:tr>
        <w:tc>
          <w:tcPr>
            <w:tcW w:type="dxa" w:w="3024"/>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b/>
                <w:bCs/>
                <w:color w:val="1B4F72"/>
                <w:sz w:val="18"/>
                <w:szCs w:val="18"/>
              </w:rPr>
              <w:t xml:space="preserve">Contact</w:t>
            </w:r>
          </w:p>
        </w:tc>
        <w:tc>
          <w:tcPr>
            <w:tcW w:type="dxa" w:w="7056"/>
            <w:tcBorders>
              <w:top w:val="single" w:color="AAAAAA" w:sz="2"/>
              <w:left w:val="single" w:color="AAAAAA" w:sz="2"/>
              <w:bottom w:val="single" w:color="AAAAAA" w:sz="2"/>
              <w:right w:val="single" w:color="AAAAAA" w:sz="2"/>
            </w:tcBorders>
            <w:shd w:fill="D6E8F7" w:val="clear"/>
            <w:tcMar>
              <w:top w:type="dxa" w:w="80"/>
              <w:left w:type="dxa" w:w="140"/>
              <w:bottom w:type="dxa" w:w="80"/>
              <w:right w:type="dxa" w:w="140"/>
            </w:tcMar>
          </w:tcPr>
          <w:p>
            <w:pPr>
              <w:spacing w:after="0"/>
            </w:pPr>
            <w:r>
              <w:rPr>
                <w:rFonts w:ascii="Arial" w:cs="Arial" w:eastAsia="Arial" w:hAnsi="Arial"/>
                <w:sz w:val="18"/>
                <w:szCs w:val="18"/>
              </w:rPr>
              <w:t xml:space="preserve">info@bskrbrands.com  |  www.bskrbrands.com  |  (321) 285-9908</w:t>
            </w:r>
          </w:p>
        </w:tc>
      </w:tr>
    </w:tbl>
    <w:p>
      <w:pPr>
        <w:spacing w:after="60"/>
      </w:pPr>
      <w:r>
        <w:rPr>
          <w:rFonts w:ascii="Arial" w:cs="Arial" w:eastAsia="Arial" w:hAnsi="Arial"/>
          <w:sz w:val="20"/>
          <w:szCs w:val="20"/>
        </w:rPr>
        <w:t xml:space="preserve"/>
      </w:r>
    </w:p>
    <w:p>
      <w:pPr>
        <w:spacing w:after="0"/>
      </w:pPr>
      <w:r>
        <w:rPr>
          <w:rFonts w:ascii="Arial" w:cs="Arial" w:eastAsia="Arial" w:hAnsi="Arial"/>
          <w:sz w:val="16"/>
          <w:szCs w:val="16"/>
        </w:rPr>
        <w:t xml:space="preserve">Key Abbreviations: OSHA – Occupational Safety &amp; Health Administration; GHS – Globally Harmonised System; SDS – Safety Data Sheet; TSCA – Toxic Substances Control Act; CERCLA – Comprehensive Environmental Response, Compensation, and Liability Act; SARA – Superfund Amendments and Reauthorization Act; DOT – Department of Transportation; IATA – International Air Transport Association; IMDG – International Maritime Dangerous Goods; RCRA – Resource Conservation and Recovery Act; IARC – International Agency for Research on Cancer; VOC – Volatile Organic Compound; PPE – Personal Protective Equipment; STOT – Specific Target Organ Toxicity; SCBA – Self-Contained Breathing Apparatus; CNS – Central Nervous System; TWA – Time-Weighted Average; PEL – Permissible Exposure Limit; TLV – Threshold Limit Value; REL – Recommended Exposure Limit.</w:t>
      </w:r>
    </w:p>
    <w:p>
      <w:pPr>
        <w:spacing w:after="80"/>
      </w:pPr>
      <w:r>
        <w:rPr>
          <w:rFonts w:ascii="Arial" w:cs="Arial" w:eastAsia="Arial" w:hAnsi="Arial"/>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1B4F72" w:sz="6"/>
              <w:left w:val="single" w:color="1B4F72" w:sz="6"/>
              <w:bottom w:val="single" w:color="1B4F72" w:sz="6"/>
              <w:right w:val="single" w:color="1B4F72" w:sz="6"/>
            </w:tcBorders>
            <w:shd w:fill="D6E8F7" w:val="clear"/>
            <w:tcMar>
              <w:top w:type="dxa" w:w="120"/>
              <w:left w:type="dxa" w:w="180"/>
              <w:bottom w:type="dxa" w:w="120"/>
              <w:right w:type="dxa" w:w="180"/>
            </w:tcMar>
          </w:tcPr>
          <w:p>
            <w:pPr>
              <w:spacing w:after="0"/>
            </w:pPr>
            <w:r>
              <w:rPr>
                <w:rFonts w:ascii="Arial" w:cs="Arial" w:eastAsia="Arial" w:hAnsi="Arial"/>
                <w:b/>
                <w:bCs/>
                <w:sz w:val="17"/>
                <w:szCs w:val="17"/>
              </w:rPr>
              <w:t xml:space="preserve">DISCLAIMER: </w:t>
            </w:r>
            <w:r>
              <w:rPr>
                <w:rFonts w:ascii="Arial" w:cs="Arial" w:eastAsia="Arial" w:hAnsi="Arial"/>
                <w:sz w:val="17"/>
                <w:szCs w:val="17"/>
              </w:rPr>
              <w:t xml:space="preserve">The information in this Safety Data Sheet is believed accurate as of the revision date and is provided in good faith without warranty, express or implied. BSKR Brands LLC and Industria Dryko Ltda. assume no liability for injury, loss, or damage arising from use of this product other than as directed. Users are responsible for determining suitability for their specific application and for complying with all applicable regulations.</w:t>
            </w:r>
          </w:p>
        </w:tc>
      </w:tr>
    </w:tbl>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B4F72" w:sz="6" w:space="4"/>
      </w:pBdr>
      <w:tabs>
        <w:tab w:val="center" w:pos="5040"/>
        <w:tab w:val="right" w:pos="10080"/>
      </w:tabs>
      <w:spacing w:after="0" w:before="40"/>
    </w:pPr>
    <w:r>
      <w:rPr>
        <w:rFonts w:ascii="Arial" w:cs="Arial" w:eastAsia="Arial" w:hAnsi="Arial"/>
        <w:color w:val="AAAAAA"/>
        <w:sz w:val="14"/>
        <w:szCs w:val="14"/>
      </w:rPr>
      <w:t xml:space="preserve">BSKR Brands LLC  |  info@bskrbrands.com</w:t>
    </w:r>
    <w:r>
      <w:rPr>
        <w:sz w:val="14"/>
        <w:szCs w:val="14"/>
      </w:rPr>
      <w:t xml:space="preserve">	</w:t>
    </w:r>
    <w:r>
      <w:rPr>
        <w:rFonts w:ascii="Arial" w:cs="Arial" w:eastAsia="Arial" w:hAnsi="Arial"/>
        <w:color w:val="AAAAAA"/>
        <w:sz w:val="14"/>
        <w:szCs w:val="14"/>
      </w:rPr>
      <w:t xml:space="preserve">HTS: 2715.00.0000</w:t>
    </w:r>
    <w:r>
      <w:rPr>
        <w:sz w:val="14"/>
        <w:szCs w:val="14"/>
      </w:rPr>
      <w:t xml:space="preserve">	</w:t>
    </w:r>
    <w:r>
      <w:rPr>
        <w:rFonts w:ascii="Arial" w:cs="Arial" w:eastAsia="Arial" w:hAnsi="Arial"/>
        <w:color w:val="AAAAAA"/>
        <w:sz w:val="14"/>
        <w:szCs w:val="14"/>
      </w:rPr>
      <w:t xml:space="preserve">Page </w:t>
    </w:r>
    <w:r>
      <w:rPr>
        <w:color w:val="AAAAAA"/>
        <w:sz w:val="14"/>
        <w:szCs w:val="14"/>
      </w:rPr>
      <w:fldChar w:fldCharType="begin"/>
      <w:instrText xml:space="preserve">PAGE</w:instrText>
      <w:fldChar w:fldCharType="separate"/>
      <w:fldChar w:fldCharType="end"/>
    </w:r>
    <w:r>
      <w:rPr>
        <w:rFonts w:ascii="Arial" w:cs="Arial" w:eastAsia="Arial" w:hAnsi="Arial"/>
        <w:color w:val="AAAAAA"/>
        <w:sz w:val="14"/>
        <w:szCs w:val="14"/>
      </w:rPr>
      <w:t xml:space="preserve"> of </w:t>
    </w:r>
    <w:r>
      <w:rPr>
        <w:color w:val="AAAAAA"/>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4F72" w:sz="6" w:space="4"/>
      </w:pBdr>
      <w:spacing w:after="0"/>
      <w:jc w:val="right"/>
    </w:pPr>
    <w:r>
      <w:rPr>
        <w:rFonts w:ascii="Arial" w:cs="Arial" w:eastAsia="Arial" w:hAnsi="Arial"/>
        <w:color w:val="1B4F72"/>
        <w:sz w:val="16"/>
        <w:szCs w:val="16"/>
      </w:rPr>
      <w:t xml:space="preserve">Dryko™ Asphalt Primer  |  Safety Data Sheet  |  Version 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2026-05-13T21:12:14.680Z</dcterms:created>
  <dcterms:modified xsi:type="dcterms:W3CDTF">2026-05-13T21:12:14.680Z</dcterms:modified>
</cp:coreProperties>
</file>

<file path=docProps/custom.xml><?xml version="1.0" encoding="utf-8"?>
<Properties xmlns="http://schemas.openxmlformats.org/officeDocument/2006/custom-properties" xmlns:vt="http://schemas.openxmlformats.org/officeDocument/2006/docPropsVTypes"/>
</file>